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F68DF" w14:textId="7AF3B1F3" w:rsidR="006015C2" w:rsidRPr="00251FDA" w:rsidRDefault="006015C2">
      <w:pPr>
        <w:rPr>
          <w:rFonts w:ascii="Times" w:hAnsi="Times"/>
        </w:rPr>
      </w:pPr>
      <w:bookmarkStart w:id="0" w:name="_GoBack"/>
      <w:bookmarkEnd w:id="0"/>
      <w:r w:rsidRPr="00251FDA">
        <w:rPr>
          <w:rFonts w:ascii="Times" w:hAnsi="Times"/>
          <w:b/>
        </w:rPr>
        <w:t xml:space="preserve">Table </w:t>
      </w:r>
      <w:r w:rsidR="00FD54E0">
        <w:rPr>
          <w:rFonts w:ascii="Times" w:hAnsi="Times"/>
          <w:b/>
        </w:rPr>
        <w:t>S</w:t>
      </w:r>
      <w:r w:rsidRPr="00251FDA">
        <w:rPr>
          <w:rFonts w:ascii="Times" w:hAnsi="Times"/>
          <w:b/>
        </w:rPr>
        <w:t xml:space="preserve">2 </w:t>
      </w:r>
      <w:r w:rsidRPr="00251FDA">
        <w:rPr>
          <w:rFonts w:ascii="Times" w:hAnsi="Times"/>
        </w:rPr>
        <w:t>Studies included in the systematic review that examined poliovirus shedding in nasopharyngeal secretions after administration of OPV. Vaccination schedules are given as the number of doses f</w:t>
      </w:r>
      <w:r w:rsidR="006A0DDA" w:rsidRPr="00251FDA">
        <w:rPr>
          <w:rFonts w:ascii="Times" w:hAnsi="Times"/>
        </w:rPr>
        <w:t xml:space="preserve">ollowed by the type of vaccine. </w:t>
      </w:r>
      <w:proofErr w:type="spellStart"/>
      <w:proofErr w:type="gramStart"/>
      <w:r w:rsidRPr="00251FDA">
        <w:rPr>
          <w:rFonts w:ascii="Times" w:hAnsi="Times"/>
        </w:rPr>
        <w:t>tOPV</w:t>
      </w:r>
      <w:proofErr w:type="spellEnd"/>
      <w:proofErr w:type="gramEnd"/>
      <w:r w:rsidRPr="00251FDA">
        <w:rPr>
          <w:rFonts w:ascii="Times" w:hAnsi="Times"/>
        </w:rPr>
        <w:t xml:space="preserve"> = trivalent OPV, mOPV</w:t>
      </w:r>
      <w:r w:rsidR="006A0DDA" w:rsidRPr="00251FDA">
        <w:rPr>
          <w:rFonts w:ascii="Times" w:hAnsi="Times"/>
        </w:rPr>
        <w:t>1 = serotype 1 monovalent OPV.</w:t>
      </w:r>
    </w:p>
    <w:p w14:paraId="53C71072" w14:textId="77777777" w:rsidR="006015C2" w:rsidRDefault="006015C2"/>
    <w:tbl>
      <w:tblPr>
        <w:tblW w:w="131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1417"/>
        <w:gridCol w:w="993"/>
        <w:gridCol w:w="1701"/>
        <w:gridCol w:w="992"/>
        <w:gridCol w:w="1201"/>
        <w:gridCol w:w="641"/>
        <w:gridCol w:w="1418"/>
        <w:gridCol w:w="1701"/>
      </w:tblGrid>
      <w:tr w:rsidR="00B755B7" w:rsidRPr="003558B4" w14:paraId="0869172C" w14:textId="77777777" w:rsidTr="004D35D3">
        <w:trPr>
          <w:trHeight w:val="818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2ABB1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  <w:t>Study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819684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83167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  <w:t>schedule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C022E" w14:textId="5B40BC90" w:rsidR="00B755B7" w:rsidRPr="003558B4" w:rsidRDefault="00B755B7" w:rsidP="00722BEA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  <w:t>challenge vaccine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C564E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  <w:t>minimum titer of challenge poliovirus (log10 TCID50)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7E5FF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  <w:t>sample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F448C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  <w:t>detection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591B0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  <w:t>serotype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2FD2F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  <w:t>Proportion shedding according % (number)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7AB73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b/>
                <w:bCs/>
                <w:color w:val="000000"/>
                <w:sz w:val="22"/>
                <w:szCs w:val="22"/>
              </w:rPr>
              <w:t>Time of sample (days after challenge)</w:t>
            </w:r>
          </w:p>
        </w:tc>
      </w:tr>
      <w:tr w:rsidR="00B755B7" w:rsidRPr="003558B4" w14:paraId="6C054980" w14:textId="77777777" w:rsidTr="004D35D3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AB5E5" w14:textId="1EF399A4" w:rsidR="00B755B7" w:rsidRPr="003558B4" w:rsidRDefault="00B755B7" w:rsidP="004D35D3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Bauer et al 1968</w:t>
            </w:r>
            <w:r w:rsidR="004D35D3">
              <w:rPr>
                <w:rFonts w:ascii="Times" w:hAnsi="Times" w:cs="Calibri"/>
                <w:color w:val="000000"/>
                <w:sz w:val="22"/>
                <w:szCs w:val="22"/>
              </w:rPr>
              <w:t xml:space="preserve"> </w:t>
            </w:r>
            <w:r w:rsidR="004D35D3">
              <w:rPr>
                <w:rFonts w:ascii="Times" w:hAnsi="Times" w:cs="Calibri"/>
                <w:color w:val="000000"/>
                <w:sz w:val="22"/>
                <w:szCs w:val="22"/>
              </w:rPr>
              <w:fldChar w:fldCharType="begin"/>
            </w:r>
            <w:r w:rsidR="004D35D3">
              <w:rPr>
                <w:rFonts w:ascii="Times" w:hAnsi="Times" w:cs="Calibri"/>
                <w:color w:val="000000"/>
                <w:sz w:val="22"/>
                <w:szCs w:val="22"/>
              </w:rPr>
              <w:instrText xml:space="preserve"> ADDIN EN.CITE &lt;EndNote&gt;&lt;Cite&gt;&lt;Author&gt;Bauer&lt;/Author&gt;&lt;Year&gt;1968&lt;/Year&gt;&lt;RecNum&gt;2423&lt;/RecNum&gt;&lt;DisplayText&gt;[1]&lt;/DisplayText&gt;&lt;record&gt;&lt;rec-number&gt;2423&lt;/rec-number&gt;&lt;foreign-keys&gt;&lt;key app="EN" db-id="9wptet22k55aw7ef52a59fafdrd229509tpf"&gt;2423&lt;/key&gt;&lt;/foreign-keys&gt;&lt;ref-type name="Journal Article"&gt;17&lt;/ref-type&gt;&lt;contributors&gt;&lt;authors&gt;&lt;author&gt;Bauer, P.&lt;/author&gt;&lt;/authors&gt;&lt;/contributors&gt;&lt;titles&gt;&lt;title&gt;[Excretion values following Sabin oral vaccination against poliomyelitis in Tyrol]&lt;/title&gt;&lt;secondary-title&gt;Archiv Fur Hygiene Und Bakteriologie&lt;/secondary-title&gt;&lt;/titles&gt;&lt;periodical&gt;&lt;full-title&gt;Archiv Fur Hygiene Und Bakteriologie&lt;/full-title&gt;&lt;/periodical&gt;&lt;pages&gt;410-414&lt;/pages&gt;&lt;volume&gt;152&lt;/volume&gt;&lt;number&gt;5-6&lt;/number&gt;&lt;dates&gt;&lt;year&gt;1968&lt;/year&gt;&lt;/dates&gt;&lt;accession-num&gt;WOS:A1968C588500005&lt;/accession-num&gt;&lt;urls&gt;&lt;related-urls&gt;&lt;url&gt;&amp;lt;Go to ISI&amp;gt;://WOS:A1968C588500005&lt;/url&gt;&lt;/related-urls&gt;&lt;/urls&gt;&lt;/record&gt;&lt;/Cite&gt;&lt;/EndNote&gt;</w:instrText>
            </w:r>
            <w:r w:rsidR="004D35D3">
              <w:rPr>
                <w:rFonts w:ascii="Times" w:hAnsi="Times" w:cs="Calibri"/>
                <w:color w:val="000000"/>
                <w:sz w:val="22"/>
                <w:szCs w:val="22"/>
              </w:rPr>
              <w:fldChar w:fldCharType="separate"/>
            </w:r>
            <w:r w:rsidR="004D35D3">
              <w:rPr>
                <w:rFonts w:ascii="Times" w:hAnsi="Times" w:cs="Calibri"/>
                <w:noProof/>
                <w:color w:val="000000"/>
                <w:sz w:val="22"/>
                <w:szCs w:val="22"/>
              </w:rPr>
              <w:t>[</w:t>
            </w:r>
            <w:hyperlink w:anchor="_ENREF_1" w:tooltip="Bauer, 1968 #2423" w:history="1">
              <w:r w:rsidR="004D35D3">
                <w:rPr>
                  <w:rFonts w:ascii="Times" w:hAnsi="Times" w:cs="Calibri"/>
                  <w:noProof/>
                  <w:color w:val="000000"/>
                  <w:sz w:val="22"/>
                  <w:szCs w:val="22"/>
                </w:rPr>
                <w:t>1</w:t>
              </w:r>
            </w:hyperlink>
            <w:r w:rsidR="004D35D3">
              <w:rPr>
                <w:rFonts w:ascii="Times" w:hAnsi="Times" w:cs="Calibri"/>
                <w:noProof/>
                <w:color w:val="000000"/>
                <w:sz w:val="22"/>
                <w:szCs w:val="22"/>
              </w:rPr>
              <w:t>]</w:t>
            </w:r>
            <w:r w:rsidR="004D35D3">
              <w:rPr>
                <w:rFonts w:ascii="Times" w:hAnsi="Times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0F3E6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Austria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992FF" w14:textId="6E4A2DDD" w:rsidR="00B755B7" w:rsidRPr="003558B4" w:rsidRDefault="00E20D25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0-</w:t>
            </w: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3IPV</w:t>
            </w:r>
            <w:r w:rsidR="009D3353" w:rsidRPr="00C25F01">
              <w:rPr>
                <w:rFonts w:ascii="Times" w:hAnsi="Times" w:cs="Calibri"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935AC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proofErr w:type="spellStart"/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tOPV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CCFD0C" w14:textId="3B5926C9" w:rsidR="00E20D25" w:rsidRPr="003558B4" w:rsidRDefault="00E20D25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148EF9" w14:textId="657C0E0B" w:rsidR="00B755B7" w:rsidRPr="003558B4" w:rsidRDefault="00E20D25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washing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DC996" w14:textId="053EE191" w:rsidR="003558B4" w:rsidRPr="003558B4" w:rsidRDefault="003558B4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culture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B6540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7EEFE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9 (6/65)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B8363B" w14:textId="3B92BA8B" w:rsidR="00E20D25" w:rsidRPr="003558B4" w:rsidRDefault="00E20D25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7</w:t>
            </w:r>
          </w:p>
        </w:tc>
      </w:tr>
      <w:tr w:rsidR="00B755B7" w:rsidRPr="003558B4" w14:paraId="5CF20099" w14:textId="77777777" w:rsidTr="004D35D3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1E1AC10" w14:textId="2AB72E46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929F54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F7383A" w14:textId="41C5086A" w:rsidR="00B755B7" w:rsidRPr="003558B4" w:rsidRDefault="00E20D25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0-</w:t>
            </w: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3IPV</w:t>
            </w:r>
            <w:r w:rsidR="009D3353" w:rsidRPr="00615337">
              <w:rPr>
                <w:rFonts w:ascii="Times" w:hAnsi="Times" w:cs="Calibri"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F34D352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proofErr w:type="spellStart"/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tOPV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9BF138" w14:textId="6631B52C" w:rsidR="00B755B7" w:rsidRPr="003558B4" w:rsidRDefault="00E20D25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81B1B6" w14:textId="4EBCF0C2" w:rsidR="00B755B7" w:rsidRPr="003558B4" w:rsidRDefault="00E20D25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washing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678B47B7" w14:textId="7F21A948" w:rsidR="00B755B7" w:rsidRPr="003558B4" w:rsidRDefault="003558B4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culture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654B24F3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ED5720B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2 (1/50)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84DBD3" w14:textId="070B4583" w:rsidR="00B755B7" w:rsidRPr="003558B4" w:rsidRDefault="00E20D25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7</w:t>
            </w:r>
          </w:p>
        </w:tc>
      </w:tr>
      <w:tr w:rsidR="00B755B7" w:rsidRPr="003558B4" w14:paraId="65ED4F97" w14:textId="77777777" w:rsidTr="004D35D3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B0DCA58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1866DC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2EFE69" w14:textId="3EE0B31C" w:rsidR="00B755B7" w:rsidRPr="003558B4" w:rsidRDefault="00E20D25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0-</w:t>
            </w: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3IPV</w:t>
            </w:r>
            <w:r w:rsidR="009D3353" w:rsidRPr="00615337">
              <w:rPr>
                <w:rFonts w:ascii="Times" w:hAnsi="Times" w:cs="Calibri"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FE2B89D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proofErr w:type="spellStart"/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tOPV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7D16143" w14:textId="1C00561E" w:rsidR="00B755B7" w:rsidRPr="003558B4" w:rsidRDefault="00E20D25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8D157D" w14:textId="0FEFF79B" w:rsidR="00B755B7" w:rsidRPr="003558B4" w:rsidRDefault="00E20D25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washing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1D7E478F" w14:textId="4B7615D4" w:rsidR="00B755B7" w:rsidRPr="003558B4" w:rsidRDefault="003558B4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culture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108C0933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749B19B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2 (1/56)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12F7D79" w14:textId="56765774" w:rsidR="00B755B7" w:rsidRPr="003558B4" w:rsidRDefault="00E20D25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7</w:t>
            </w:r>
          </w:p>
        </w:tc>
      </w:tr>
      <w:tr w:rsidR="00B755B7" w:rsidRPr="003558B4" w14:paraId="50961BCA" w14:textId="77777777" w:rsidTr="004D35D3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96F027C" w14:textId="1AD6DED7" w:rsidR="00B755B7" w:rsidRPr="003558B4" w:rsidRDefault="00B755B7" w:rsidP="004D35D3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proofErr w:type="spellStart"/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Glezen</w:t>
            </w:r>
            <w:proofErr w:type="spellEnd"/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 xml:space="preserve"> et al 1966</w:t>
            </w:r>
            <w:r w:rsidR="004D35D3">
              <w:rPr>
                <w:rFonts w:ascii="Times" w:hAnsi="Times" w:cs="Calibri"/>
                <w:color w:val="000000"/>
                <w:sz w:val="22"/>
                <w:szCs w:val="22"/>
              </w:rPr>
              <w:t xml:space="preserve"> </w:t>
            </w:r>
            <w:r w:rsidR="004D35D3">
              <w:rPr>
                <w:rFonts w:ascii="Times" w:hAnsi="Times" w:cs="Calibri"/>
                <w:color w:val="000000"/>
                <w:sz w:val="22"/>
                <w:szCs w:val="22"/>
              </w:rPr>
              <w:fldChar w:fldCharType="begin"/>
            </w:r>
            <w:r w:rsidR="004D35D3">
              <w:rPr>
                <w:rFonts w:ascii="Times" w:hAnsi="Times" w:cs="Calibri"/>
                <w:color w:val="000000"/>
                <w:sz w:val="22"/>
                <w:szCs w:val="22"/>
              </w:rPr>
              <w:instrText xml:space="preserve"> ADDIN EN.CITE &lt;EndNote&gt;&lt;Cite&gt;&lt;Author&gt;Glezen&lt;/Author&gt;&lt;Year&gt;1966&lt;/Year&gt;&lt;RecNum&gt;1364&lt;/RecNum&gt;&lt;DisplayText&gt;[2]&lt;/DisplayText&gt;&lt;record&gt;&lt;rec-number&gt;1364&lt;/rec-number&gt;&lt;foreign-keys&gt;&lt;key app="EN" db-id="9wptet22k55aw7ef52a59fafdrd229509tpf"&gt;1364&lt;/key&gt;&lt;key app="ENWeb" db-id="RvohYgrtmCQAAD3Ggv0"&gt;1293&lt;/key&gt;&lt;/foreign-keys&gt;&lt;ref-type name="Journal Article"&gt;17&lt;/ref-type&gt;&lt;contributors&gt;&lt;authors&gt;&lt;author&gt;Glezen, W. Paul&lt;/author&gt;&lt;author&gt;Lamb, George A.&lt;/author&gt;&lt;author&gt;Belden, E. A.&lt;/author&gt;&lt;author&gt;Chin, Tom D. Y.&lt;/author&gt;&lt;/authors&gt;&lt;/contributors&gt;&lt;titles&gt;&lt;title&gt;Quantitiative relationship of preexisting homotypic antibodies to the excretion of attenuated poliovirus type 1&lt;/title&gt;&lt;secondary-title&gt;Am. J. Epidemiol.&lt;/secondary-title&gt;&lt;/titles&gt;&lt;periodical&gt;&lt;full-title&gt;Am. J. Epidemiol.&lt;/full-title&gt;&lt;/periodical&gt;&lt;pages&gt;224-237&lt;/pages&gt;&lt;volume&gt;83&lt;/volume&gt;&lt;number&gt;2&lt;/number&gt;&lt;dates&gt;&lt;year&gt;1966&lt;/year&gt;&lt;pub-dates&gt;&lt;date&gt;March 1, 1966&lt;/date&gt;&lt;/pub-dates&gt;&lt;/dates&gt;&lt;urls&gt;&lt;related-urls&gt;&lt;url&gt;file:///U:/texts/preprints%20%26%20reprints/glezenetal66.pdf&lt;/url&gt;&lt;/related-urls&gt;&lt;/urls&gt;&lt;/record&gt;&lt;/Cite&gt;&lt;/EndNote&gt;</w:instrText>
            </w:r>
            <w:r w:rsidR="004D35D3">
              <w:rPr>
                <w:rFonts w:ascii="Times" w:hAnsi="Times" w:cs="Calibri"/>
                <w:color w:val="000000"/>
                <w:sz w:val="22"/>
                <w:szCs w:val="22"/>
              </w:rPr>
              <w:fldChar w:fldCharType="separate"/>
            </w:r>
            <w:r w:rsidR="004D35D3">
              <w:rPr>
                <w:rFonts w:ascii="Times" w:hAnsi="Times" w:cs="Calibri"/>
                <w:noProof/>
                <w:color w:val="000000"/>
                <w:sz w:val="22"/>
                <w:szCs w:val="22"/>
              </w:rPr>
              <w:t>[</w:t>
            </w:r>
            <w:hyperlink w:anchor="_ENREF_2" w:tooltip="Glezen, 1966 #1364" w:history="1">
              <w:r w:rsidR="004D35D3">
                <w:rPr>
                  <w:rFonts w:ascii="Times" w:hAnsi="Times" w:cs="Calibri"/>
                  <w:noProof/>
                  <w:color w:val="000000"/>
                  <w:sz w:val="22"/>
                  <w:szCs w:val="22"/>
                </w:rPr>
                <w:t>2</w:t>
              </w:r>
            </w:hyperlink>
            <w:r w:rsidR="004D35D3">
              <w:rPr>
                <w:rFonts w:ascii="Times" w:hAnsi="Times" w:cs="Calibri"/>
                <w:noProof/>
                <w:color w:val="000000"/>
                <w:sz w:val="22"/>
                <w:szCs w:val="22"/>
              </w:rPr>
              <w:t>]</w:t>
            </w:r>
            <w:r w:rsidR="004D35D3">
              <w:rPr>
                <w:rFonts w:ascii="Times" w:hAnsi="Times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BF10E9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F88786" w14:textId="4D44028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0-6IPV</w:t>
            </w:r>
            <w:r w:rsidR="009D3353" w:rsidRPr="00615337">
              <w:rPr>
                <w:rFonts w:ascii="Times" w:hAnsi="Times" w:cs="Calibri"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773E117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mOPV1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8F1F27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4AACEF1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washing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57D1E118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culture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29B54524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2A2D60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10 (9/92)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1B97AA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3-7</w:t>
            </w:r>
          </w:p>
        </w:tc>
      </w:tr>
      <w:tr w:rsidR="00B755B7" w:rsidRPr="003558B4" w14:paraId="36DFDFD5" w14:textId="77777777" w:rsidTr="004D35D3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9B4F5B7" w14:textId="72EFEB55" w:rsidR="00B755B7" w:rsidRPr="003558B4" w:rsidRDefault="00B755B7" w:rsidP="004D35D3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proofErr w:type="spellStart"/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Kok</w:t>
            </w:r>
            <w:proofErr w:type="spellEnd"/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 xml:space="preserve"> et al 1992</w:t>
            </w:r>
            <w:r w:rsidR="004D35D3">
              <w:rPr>
                <w:rFonts w:ascii="Times" w:hAnsi="Times" w:cs="Calibri"/>
                <w:color w:val="000000"/>
                <w:sz w:val="22"/>
                <w:szCs w:val="22"/>
              </w:rPr>
              <w:t xml:space="preserve"> </w:t>
            </w:r>
            <w:r w:rsidR="004D35D3">
              <w:rPr>
                <w:rFonts w:ascii="Times" w:hAnsi="Times" w:cs="Calibri"/>
                <w:color w:val="000000"/>
                <w:sz w:val="22"/>
                <w:szCs w:val="22"/>
              </w:rPr>
              <w:fldChar w:fldCharType="begin"/>
            </w:r>
            <w:r w:rsidR="004D35D3">
              <w:rPr>
                <w:rFonts w:ascii="Times" w:hAnsi="Times" w:cs="Calibri"/>
                <w:color w:val="000000"/>
                <w:sz w:val="22"/>
                <w:szCs w:val="22"/>
              </w:rPr>
              <w:instrText xml:space="preserve"> ADDIN EN.CITE &lt;EndNote&gt;&lt;Cite&gt;&lt;Author&gt;Kok&lt;/Author&gt;&lt;Year&gt;1992&lt;/Year&gt;&lt;RecNum&gt;1365&lt;/RecNum&gt;&lt;DisplayText&gt;[3]&lt;/DisplayText&gt;&lt;record&gt;&lt;rec-number&gt;1365&lt;/rec-number&gt;&lt;foreign-keys&gt;&lt;key app="EN" db-id="9wptet22k55aw7ef52a59fafdrd229509tpf"&gt;1365&lt;/key&gt;&lt;key app="ENWeb" db-id="RvohYgrtmCQAAD3Ggv0"&gt;1294&lt;/key&gt;&lt;/foreign-keys&gt;&lt;ref-type name="Journal Article"&gt;17&lt;/ref-type&gt;&lt;contributors&gt;&lt;authors&gt;&lt;author&gt;Kok, P. W.&lt;/author&gt;&lt;author&gt;Leeuwenburg, J.&lt;/author&gt;&lt;author&gt;Tukei, P.&lt;/author&gt;&lt;author&gt;Vanwezel, A. L.&lt;/author&gt;&lt;author&gt;Kapsenberg, J. G.&lt;/author&gt;&lt;author&gt;Vansteenis, G.&lt;/author&gt;&lt;author&gt;Galazka, A.&lt;/author&gt;&lt;author&gt;Robertson, S. E.&lt;/author&gt;&lt;author&gt;Robinson, D.&lt;/author&gt;&lt;/authors&gt;&lt;/contributors&gt;&lt;auth-address&gt;Kenya Govt Med Res Ctr,Med Res Ctr,Dept Epidemiol,Nairobi,Kenya&amp;#xD;Kenya Govt Med Res Ctr,Virus Res Ctr,Nairobi,Kenya&amp;#xD;Rijksinst Volkgezondheid &amp;amp; Milieuhyg,Inactivated Vaccines Lab,Bilthoven,Netherlands&amp;#xD;Who,Expanded Program Immunizat,Ch-1211 Geneva 27,Switzerland&amp;#xD;Rijksinst Volkgezondheid &amp;amp; Milieuhyg,Qual Control Lab Biol &amp;amp; Control Viral Vaccines,Bilthoven,Netherlands&lt;/auth-address&gt;&lt;titles&gt;&lt;title&gt;Serological and virological assessment of oral and inactivated poliovirus vaccines in a rural population in Kenya&lt;/title&gt;&lt;secondary-title&gt;Bull WHO&lt;/secondary-title&gt;&lt;alt-title&gt;B World Health Organ&amp;#xD;B World Health Organ&lt;/alt-title&gt;&lt;/titles&gt;&lt;periodical&gt;&lt;full-title&gt;Bull WHO&lt;/full-title&gt;&lt;/periodical&gt;&lt;pages&gt;93-103&lt;/pages&gt;&lt;volume&gt;70&lt;/volume&gt;&lt;number&gt;1&lt;/number&gt;&lt;keywords&gt;&lt;keyword&gt;enhanced-potency&lt;/keyword&gt;&lt;keyword&gt;poliomyelitis vaccine&lt;/keyword&gt;&lt;keyword&gt;immunization&lt;/keyword&gt;&lt;keyword&gt;world&lt;/keyword&gt;&lt;keyword&gt;efficacy&lt;/keyword&gt;&lt;keyword&gt;infants&lt;/keyword&gt;&lt;keyword&gt;brazil&lt;/keyword&gt;&lt;keyword&gt;birth&lt;/keyword&gt;&lt;/keywords&gt;&lt;dates&gt;&lt;year&gt;1992&lt;/year&gt;&lt;/dates&gt;&lt;accession-num&gt;ISI:A1992HM63100012&lt;/accession-num&gt;&lt;label&gt;World Health Organization&lt;/label&gt;&lt;urls&gt;&lt;related-urls&gt;&lt;url&gt;file:///U:/texts/preprints%20%26%20reprints/koketal92.pdf&lt;/url&gt;&lt;/related-urls&gt;&lt;/urls&gt;&lt;/record&gt;&lt;/Cite&gt;&lt;/EndNote&gt;</w:instrText>
            </w:r>
            <w:r w:rsidR="004D35D3">
              <w:rPr>
                <w:rFonts w:ascii="Times" w:hAnsi="Times" w:cs="Calibri"/>
                <w:color w:val="000000"/>
                <w:sz w:val="22"/>
                <w:szCs w:val="22"/>
              </w:rPr>
              <w:fldChar w:fldCharType="separate"/>
            </w:r>
            <w:r w:rsidR="004D35D3">
              <w:rPr>
                <w:rFonts w:ascii="Times" w:hAnsi="Times" w:cs="Calibri"/>
                <w:noProof/>
                <w:color w:val="000000"/>
                <w:sz w:val="22"/>
                <w:szCs w:val="22"/>
              </w:rPr>
              <w:t>[</w:t>
            </w:r>
            <w:hyperlink w:anchor="_ENREF_3" w:tooltip="Kok, 1992 #1365" w:history="1">
              <w:r w:rsidR="004D35D3">
                <w:rPr>
                  <w:rFonts w:ascii="Times" w:hAnsi="Times" w:cs="Calibri"/>
                  <w:noProof/>
                  <w:color w:val="000000"/>
                  <w:sz w:val="22"/>
                  <w:szCs w:val="22"/>
                </w:rPr>
                <w:t>3</w:t>
              </w:r>
            </w:hyperlink>
            <w:r w:rsidR="004D35D3">
              <w:rPr>
                <w:rFonts w:ascii="Times" w:hAnsi="Times" w:cs="Calibri"/>
                <w:noProof/>
                <w:color w:val="000000"/>
                <w:sz w:val="22"/>
                <w:szCs w:val="22"/>
              </w:rPr>
              <w:t>]</w:t>
            </w:r>
            <w:r w:rsidR="004D35D3">
              <w:rPr>
                <w:rFonts w:ascii="Times" w:hAnsi="Times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434573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Kenya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CC09B2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3tOPV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F9CBEFD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mOPV1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57DB22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47E7E6C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washing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03C4AB43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culture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2AEADB65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EEF720F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0 (0/60)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F75E0D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7</w:t>
            </w:r>
          </w:p>
        </w:tc>
      </w:tr>
      <w:tr w:rsidR="00B755B7" w:rsidRPr="003558B4" w14:paraId="6728750F" w14:textId="77777777" w:rsidTr="004D35D3">
        <w:trPr>
          <w:trHeight w:val="2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59AB051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A6AE745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3725B8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2-3IPV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8AEF403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mOPV1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D3EDB5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5311B2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washing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00DAA472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culture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5EE36787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5079623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0 (0/84)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1797D4" w14:textId="77777777" w:rsidR="00B755B7" w:rsidRPr="003558B4" w:rsidRDefault="00B755B7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7</w:t>
            </w:r>
          </w:p>
        </w:tc>
      </w:tr>
      <w:tr w:rsidR="004D35D3" w:rsidRPr="003558B4" w14:paraId="2D448438" w14:textId="77777777" w:rsidTr="004D35D3">
        <w:trPr>
          <w:trHeight w:val="280"/>
        </w:trPr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</w:tcPr>
          <w:p w14:paraId="161FA083" w14:textId="275B61CD" w:rsidR="004D35D3" w:rsidRPr="003558B4" w:rsidRDefault="004D35D3" w:rsidP="004D35D3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proofErr w:type="spellStart"/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Onorato</w:t>
            </w:r>
            <w:proofErr w:type="spellEnd"/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 xml:space="preserve"> et al 1991</w:t>
            </w:r>
            <w:r>
              <w:rPr>
                <w:rFonts w:ascii="Times" w:hAnsi="Times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" w:hAnsi="Times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" w:hAnsi="Times" w:cs="Calibri"/>
                <w:color w:val="000000"/>
                <w:sz w:val="22"/>
                <w:szCs w:val="22"/>
              </w:rPr>
              <w:instrText xml:space="preserve"> ADDIN EN.CITE &lt;EndNote&gt;&lt;Cite&gt;&lt;Author&gt;Onorato&lt;/Author&gt;&lt;Year&gt;1991&lt;/Year&gt;&lt;RecNum&gt;1211&lt;/RecNum&gt;&lt;DisplayText&gt;[4]&lt;/DisplayText&gt;&lt;record&gt;&lt;rec-number&gt;1211&lt;/rec-number&gt;&lt;foreign-keys&gt;&lt;key app="EN" db-id="9wptet22k55aw7ef52a59fafdrd229509tpf"&gt;1211&lt;/key&gt;&lt;key app="ENWeb" db-id="RvohYgrtmCQAAD3Ggv0"&gt;1150&lt;/key&gt;&lt;/foreign-keys&gt;&lt;ref-type name="Journal Article"&gt;17&lt;/ref-type&gt;&lt;contributors&gt;&lt;authors&gt;&lt;author&gt;Onorato, I. M.&lt;/author&gt;&lt;author&gt;Modlin, J. F.&lt;/author&gt;&lt;author&gt;McBean, A. M.&lt;/author&gt;&lt;author&gt;Thoms, M. L.&lt;/author&gt;&lt;author&gt;Losonsky, G. A.&lt;/author&gt;&lt;author&gt;Bernier, R. H.&lt;/author&gt;&lt;/authors&gt;&lt;/contributors&gt;&lt;auth-address&gt;Division of Immunization, Centers for Disease Control, Atlanta, Georgia 30333.&lt;/auth-address&gt;&lt;titles&gt;&lt;title&gt;Mucosal immunity induced by enhanced-potency inactivated and oral polio vaccines&lt;/title&gt;&lt;secondary-title&gt;J Infect Dis&lt;/secondary-title&gt;&lt;/titles&gt;&lt;periodical&gt;&lt;full-title&gt;Journal of Infectious Diseases&lt;/full-title&gt;&lt;abbr-1&gt;J Infect Dis&lt;/abbr-1&gt;&lt;/periodical&gt;&lt;pages&gt;1-6&lt;/pages&gt;&lt;volume&gt;163&lt;/volume&gt;&lt;number&gt;1&lt;/number&gt;&lt;keywords&gt;&lt;keyword&gt;Antibodies, Viral/biosynthesis&lt;/keyword&gt;&lt;keyword&gt;Child, Preschool&lt;/keyword&gt;&lt;keyword&gt;Cohort Studies&lt;/keyword&gt;&lt;keyword&gt;Comparative Study&lt;/keyword&gt;&lt;keyword&gt;Feces/microbiology&lt;/keyword&gt;&lt;keyword&gt;Humans&lt;/keyword&gt;&lt;keyword&gt;Immunoglobulin A, Secretory/biosynthesis&lt;/keyword&gt;&lt;keyword&gt;Intestinal Mucosa/*immunology&lt;/keyword&gt;&lt;keyword&gt;Pharynx/*immunology/microbiology&lt;/keyword&gt;&lt;keyword&gt;Poliomyelitis/*prevention &amp;amp; control&lt;/keyword&gt;&lt;keyword&gt;Poliovirus Vaccine, Inactivated/*immunology&lt;/keyword&gt;&lt;keyword&gt;Poliovirus Vaccine, Oral/*immunology&lt;/keyword&gt;&lt;keyword&gt;Polioviruses/growth &amp;amp; development/immunology&lt;/keyword&gt;&lt;keyword&gt;Random Allocation&lt;/keyword&gt;&lt;keyword&gt;Vaccines, Inactivated/immunology&lt;/keyword&gt;&lt;/keywords&gt;&lt;dates&gt;&lt;year&gt;1991&lt;/year&gt;&lt;pub-dates&gt;&lt;date&gt;Jan&lt;/date&gt;&lt;/pub-dates&gt;&lt;/dates&gt;&lt;accession-num&gt;1845806&lt;/accession-num&gt;&lt;urls&gt;&lt;related-urls&gt;&lt;url&gt;file://U:%5Ctexts%5Cpreprints%20%26%20reprints%5Conorato91.pdf&lt;/url&gt;&lt;/related-urls&gt;&lt;/urls&gt;&lt;/record&gt;&lt;/Cite&gt;&lt;/EndNote&gt;</w:instrText>
            </w:r>
            <w:r>
              <w:rPr>
                <w:rFonts w:ascii="Times" w:hAnsi="Times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" w:hAnsi="Times" w:cs="Calibri"/>
                <w:noProof/>
                <w:color w:val="000000"/>
                <w:sz w:val="22"/>
                <w:szCs w:val="22"/>
              </w:rPr>
              <w:t>[</w:t>
            </w:r>
            <w:hyperlink w:anchor="_ENREF_4" w:tooltip="Onorato, 1991 #1211" w:history="1">
              <w:r>
                <w:rPr>
                  <w:rFonts w:ascii="Times" w:hAnsi="Times" w:cs="Calibri"/>
                  <w:noProof/>
                  <w:color w:val="000000"/>
                  <w:sz w:val="22"/>
                  <w:szCs w:val="22"/>
                </w:rPr>
                <w:t>4</w:t>
              </w:r>
            </w:hyperlink>
            <w:r>
              <w:rPr>
                <w:rFonts w:ascii="Times" w:hAnsi="Times" w:cs="Calibri"/>
                <w:noProof/>
                <w:color w:val="000000"/>
                <w:sz w:val="22"/>
                <w:szCs w:val="22"/>
              </w:rPr>
              <w:t>]</w:t>
            </w:r>
            <w:r>
              <w:rPr>
                <w:rFonts w:ascii="Times" w:hAnsi="Times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565D6FD2" w14:textId="77777777" w:rsidR="004D35D3" w:rsidRPr="003558B4" w:rsidRDefault="004D35D3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USA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5997A7E6" w14:textId="77777777" w:rsidR="004D35D3" w:rsidRPr="003558B4" w:rsidRDefault="004D35D3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3tOPV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2A110FE0" w14:textId="77777777" w:rsidR="004D35D3" w:rsidRPr="003558B4" w:rsidRDefault="004D35D3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mOPV1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6B9ADEBC" w14:textId="77777777" w:rsidR="004D35D3" w:rsidRPr="003558B4" w:rsidRDefault="004D35D3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2.7-5.7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2F5FD4C0" w14:textId="77777777" w:rsidR="004D35D3" w:rsidRPr="003558B4" w:rsidRDefault="004D35D3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swab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</w:tcPr>
          <w:p w14:paraId="0A71865F" w14:textId="77777777" w:rsidR="004D35D3" w:rsidRPr="003558B4" w:rsidRDefault="004D35D3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culture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</w:tcPr>
          <w:p w14:paraId="403C9BF7" w14:textId="77777777" w:rsidR="004D35D3" w:rsidRPr="003558B4" w:rsidRDefault="004D35D3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70382812" w14:textId="77777777" w:rsidR="004D35D3" w:rsidRPr="003558B4" w:rsidRDefault="004D35D3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3 (2/78)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35663679" w14:textId="77777777" w:rsidR="004D35D3" w:rsidRPr="003558B4" w:rsidRDefault="004D35D3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7</w:t>
            </w:r>
          </w:p>
        </w:tc>
      </w:tr>
      <w:tr w:rsidR="004D35D3" w:rsidRPr="003558B4" w14:paraId="5A41F985" w14:textId="77777777" w:rsidTr="00031B5F">
        <w:trPr>
          <w:trHeight w:val="280"/>
        </w:trPr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8911E07" w14:textId="77777777" w:rsidR="004D35D3" w:rsidRPr="003558B4" w:rsidRDefault="004D35D3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9C989" w14:textId="77777777" w:rsidR="004D35D3" w:rsidRPr="003558B4" w:rsidRDefault="004D35D3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5622F" w14:textId="77777777" w:rsidR="004D35D3" w:rsidRPr="003558B4" w:rsidRDefault="004D35D3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3IPV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4A7F9" w14:textId="77777777" w:rsidR="004D35D3" w:rsidRPr="003558B4" w:rsidRDefault="004D35D3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mOPV1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CE1E3" w14:textId="77777777" w:rsidR="004D35D3" w:rsidRPr="003558B4" w:rsidRDefault="004D35D3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2.7-5.7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280A1" w14:textId="77777777" w:rsidR="004D35D3" w:rsidRPr="003558B4" w:rsidRDefault="004D35D3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swab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D7F0C" w14:textId="77777777" w:rsidR="004D35D3" w:rsidRPr="003558B4" w:rsidRDefault="004D35D3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culture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FD209" w14:textId="77777777" w:rsidR="004D35D3" w:rsidRPr="003558B4" w:rsidRDefault="004D35D3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9ABF1" w14:textId="77777777" w:rsidR="004D35D3" w:rsidRPr="003558B4" w:rsidRDefault="004D35D3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1 (1/91)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5FC03" w14:textId="77777777" w:rsidR="004D35D3" w:rsidRPr="003558B4" w:rsidRDefault="004D35D3">
            <w:pPr>
              <w:widowControl w:val="0"/>
              <w:autoSpaceDE w:val="0"/>
              <w:autoSpaceDN w:val="0"/>
              <w:adjustRightInd w:val="0"/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3558B4">
              <w:rPr>
                <w:rFonts w:ascii="Times" w:hAnsi="Times" w:cs="Calibri"/>
                <w:color w:val="000000"/>
                <w:sz w:val="22"/>
                <w:szCs w:val="22"/>
              </w:rPr>
              <w:t>7</w:t>
            </w:r>
          </w:p>
        </w:tc>
      </w:tr>
    </w:tbl>
    <w:p w14:paraId="6CEA2995" w14:textId="77777777" w:rsidR="009D3353" w:rsidRPr="00C5247B" w:rsidRDefault="009D3353" w:rsidP="009D3353">
      <w:r w:rsidRPr="00615337">
        <w:rPr>
          <w:rFonts w:ascii="Times" w:hAnsi="Times"/>
          <w:sz w:val="22"/>
          <w:szCs w:val="22"/>
          <w:vertAlign w:val="superscript"/>
        </w:rPr>
        <w:t>*</w:t>
      </w:r>
      <w:r>
        <w:rPr>
          <w:rFonts w:ascii="Times" w:hAnsi="Times"/>
          <w:sz w:val="22"/>
          <w:szCs w:val="22"/>
        </w:rPr>
        <w:t>children in these 2 studies had received different numbers of IPV doses within the reported range but shedding data were not disaggregated by number of doses</w:t>
      </w:r>
    </w:p>
    <w:p w14:paraId="06019317" w14:textId="77777777" w:rsidR="004D35D3" w:rsidRDefault="004D35D3">
      <w:pPr>
        <w:rPr>
          <w:rFonts w:ascii="Times" w:hAnsi="Times"/>
        </w:rPr>
      </w:pPr>
    </w:p>
    <w:p w14:paraId="63B03486" w14:textId="4DEECDEF" w:rsidR="004D35D3" w:rsidRPr="004D35D3" w:rsidRDefault="004D35D3">
      <w:pPr>
        <w:rPr>
          <w:rFonts w:ascii="Times" w:hAnsi="Times"/>
          <w:b/>
          <w:sz w:val="22"/>
          <w:szCs w:val="22"/>
        </w:rPr>
      </w:pPr>
      <w:r w:rsidRPr="004D35D3">
        <w:rPr>
          <w:rFonts w:ascii="Times" w:hAnsi="Times"/>
          <w:b/>
          <w:sz w:val="22"/>
          <w:szCs w:val="22"/>
        </w:rPr>
        <w:t>References</w:t>
      </w:r>
    </w:p>
    <w:p w14:paraId="271D6590" w14:textId="77777777" w:rsidR="004D35D3" w:rsidRPr="004D35D3" w:rsidRDefault="004D35D3" w:rsidP="004D35D3">
      <w:pPr>
        <w:rPr>
          <w:rFonts w:ascii="Times" w:hAnsi="Times"/>
          <w:noProof/>
          <w:sz w:val="22"/>
          <w:szCs w:val="22"/>
        </w:rPr>
      </w:pPr>
      <w:r w:rsidRPr="004D35D3">
        <w:rPr>
          <w:rFonts w:ascii="Times" w:hAnsi="Times"/>
          <w:sz w:val="22"/>
          <w:szCs w:val="22"/>
        </w:rPr>
        <w:fldChar w:fldCharType="begin"/>
      </w:r>
      <w:r w:rsidRPr="004D35D3">
        <w:rPr>
          <w:rFonts w:ascii="Times" w:hAnsi="Times"/>
          <w:sz w:val="22"/>
          <w:szCs w:val="22"/>
        </w:rPr>
        <w:instrText xml:space="preserve"> ADDIN EN.REFLIST </w:instrText>
      </w:r>
      <w:r w:rsidRPr="004D35D3">
        <w:rPr>
          <w:rFonts w:ascii="Times" w:hAnsi="Times"/>
          <w:sz w:val="22"/>
          <w:szCs w:val="22"/>
        </w:rPr>
        <w:fldChar w:fldCharType="separate"/>
      </w:r>
      <w:bookmarkStart w:id="1" w:name="_ENREF_1"/>
      <w:r w:rsidRPr="004D35D3">
        <w:rPr>
          <w:rFonts w:ascii="Times" w:hAnsi="Times"/>
          <w:noProof/>
          <w:sz w:val="22"/>
          <w:szCs w:val="22"/>
        </w:rPr>
        <w:t xml:space="preserve">1. Bauer P. [Excretion values following Sabin oral vaccination against poliomyelitis in Tyrol]. Archiv Fur Hygiene Und Bakteriologie </w:t>
      </w:r>
      <w:r w:rsidRPr="004D35D3">
        <w:rPr>
          <w:rFonts w:ascii="Times" w:hAnsi="Times"/>
          <w:b/>
          <w:noProof/>
          <w:sz w:val="22"/>
          <w:szCs w:val="22"/>
        </w:rPr>
        <w:t>1968</w:t>
      </w:r>
      <w:r w:rsidRPr="004D35D3">
        <w:rPr>
          <w:rFonts w:ascii="Times" w:hAnsi="Times"/>
          <w:noProof/>
          <w:sz w:val="22"/>
          <w:szCs w:val="22"/>
        </w:rPr>
        <w:t>; 152:410-4.</w:t>
      </w:r>
      <w:bookmarkEnd w:id="1"/>
    </w:p>
    <w:p w14:paraId="39EF7892" w14:textId="77777777" w:rsidR="004D35D3" w:rsidRPr="004D35D3" w:rsidRDefault="004D35D3" w:rsidP="004D35D3">
      <w:pPr>
        <w:rPr>
          <w:rFonts w:ascii="Times" w:hAnsi="Times"/>
          <w:noProof/>
          <w:sz w:val="22"/>
          <w:szCs w:val="22"/>
        </w:rPr>
      </w:pPr>
      <w:bookmarkStart w:id="2" w:name="_ENREF_2"/>
      <w:r w:rsidRPr="004D35D3">
        <w:rPr>
          <w:rFonts w:ascii="Times" w:hAnsi="Times"/>
          <w:noProof/>
          <w:sz w:val="22"/>
          <w:szCs w:val="22"/>
        </w:rPr>
        <w:t xml:space="preserve">2. Glezen WP, Lamb GA, Belden EA, Chin TDY. Quantitiative relationship of preexisting homotypic antibodies to the excretion of attenuated poliovirus type 1. Am J Epidemiol </w:t>
      </w:r>
      <w:r w:rsidRPr="004D35D3">
        <w:rPr>
          <w:rFonts w:ascii="Times" w:hAnsi="Times"/>
          <w:b/>
          <w:noProof/>
          <w:sz w:val="22"/>
          <w:szCs w:val="22"/>
        </w:rPr>
        <w:t>1966</w:t>
      </w:r>
      <w:r w:rsidRPr="004D35D3">
        <w:rPr>
          <w:rFonts w:ascii="Times" w:hAnsi="Times"/>
          <w:noProof/>
          <w:sz w:val="22"/>
          <w:szCs w:val="22"/>
        </w:rPr>
        <w:t>; 83:224-37.</w:t>
      </w:r>
      <w:bookmarkEnd w:id="2"/>
    </w:p>
    <w:p w14:paraId="3E69BEE0" w14:textId="77777777" w:rsidR="004D35D3" w:rsidRPr="004D35D3" w:rsidRDefault="004D35D3" w:rsidP="004D35D3">
      <w:pPr>
        <w:rPr>
          <w:rFonts w:ascii="Times" w:hAnsi="Times"/>
          <w:noProof/>
          <w:sz w:val="22"/>
          <w:szCs w:val="22"/>
        </w:rPr>
      </w:pPr>
      <w:bookmarkStart w:id="3" w:name="_ENREF_3"/>
      <w:r w:rsidRPr="004D35D3">
        <w:rPr>
          <w:rFonts w:ascii="Times" w:hAnsi="Times"/>
          <w:noProof/>
          <w:sz w:val="22"/>
          <w:szCs w:val="22"/>
        </w:rPr>
        <w:t xml:space="preserve">3. Kok PW, Leeuwenburg J, Tukei P, et al. Serological and virological assessment of oral and inactivated poliovirus vaccines in a rural population in Kenya. Bull WHO </w:t>
      </w:r>
      <w:r w:rsidRPr="004D35D3">
        <w:rPr>
          <w:rFonts w:ascii="Times" w:hAnsi="Times"/>
          <w:b/>
          <w:noProof/>
          <w:sz w:val="22"/>
          <w:szCs w:val="22"/>
        </w:rPr>
        <w:t>1992</w:t>
      </w:r>
      <w:r w:rsidRPr="004D35D3">
        <w:rPr>
          <w:rFonts w:ascii="Times" w:hAnsi="Times"/>
          <w:noProof/>
          <w:sz w:val="22"/>
          <w:szCs w:val="22"/>
        </w:rPr>
        <w:t>; 70:93-103.</w:t>
      </w:r>
      <w:bookmarkEnd w:id="3"/>
    </w:p>
    <w:p w14:paraId="33E393DC" w14:textId="77777777" w:rsidR="004D35D3" w:rsidRPr="004D35D3" w:rsidRDefault="004D35D3" w:rsidP="004D35D3">
      <w:pPr>
        <w:rPr>
          <w:rFonts w:ascii="Times" w:hAnsi="Times"/>
          <w:noProof/>
          <w:sz w:val="22"/>
          <w:szCs w:val="22"/>
        </w:rPr>
      </w:pPr>
      <w:bookmarkStart w:id="4" w:name="_ENREF_4"/>
      <w:r w:rsidRPr="004D35D3">
        <w:rPr>
          <w:rFonts w:ascii="Times" w:hAnsi="Times"/>
          <w:noProof/>
          <w:sz w:val="22"/>
          <w:szCs w:val="22"/>
        </w:rPr>
        <w:t xml:space="preserve">4. Onorato IM, Modlin JF, McBean AM, Thoms ML, Losonsky GA, Bernier RH. Mucosal immunity induced by enhanced-potency inactivated and oral polio vaccines. J Infect Dis </w:t>
      </w:r>
      <w:r w:rsidRPr="004D35D3">
        <w:rPr>
          <w:rFonts w:ascii="Times" w:hAnsi="Times"/>
          <w:b/>
          <w:noProof/>
          <w:sz w:val="22"/>
          <w:szCs w:val="22"/>
        </w:rPr>
        <w:t>1991</w:t>
      </w:r>
      <w:r w:rsidRPr="004D35D3">
        <w:rPr>
          <w:rFonts w:ascii="Times" w:hAnsi="Times"/>
          <w:noProof/>
          <w:sz w:val="22"/>
          <w:szCs w:val="22"/>
        </w:rPr>
        <w:t>; 163:1-6.</w:t>
      </w:r>
      <w:bookmarkEnd w:id="4"/>
    </w:p>
    <w:p w14:paraId="41107471" w14:textId="79CC764E" w:rsidR="004D35D3" w:rsidRPr="004D35D3" w:rsidRDefault="004D35D3" w:rsidP="004D35D3">
      <w:pPr>
        <w:rPr>
          <w:rFonts w:ascii="Times" w:hAnsi="Times"/>
          <w:noProof/>
          <w:sz w:val="22"/>
          <w:szCs w:val="22"/>
        </w:rPr>
      </w:pPr>
    </w:p>
    <w:p w14:paraId="300E5BE1" w14:textId="66936ED9" w:rsidR="00342F72" w:rsidRPr="003558B4" w:rsidRDefault="004D35D3">
      <w:pPr>
        <w:rPr>
          <w:rFonts w:ascii="Times" w:hAnsi="Times"/>
        </w:rPr>
      </w:pPr>
      <w:r w:rsidRPr="004D35D3">
        <w:rPr>
          <w:rFonts w:ascii="Times" w:hAnsi="Times"/>
          <w:sz w:val="22"/>
          <w:szCs w:val="22"/>
        </w:rPr>
        <w:fldChar w:fldCharType="end"/>
      </w:r>
    </w:p>
    <w:sectPr w:rsidR="00342F72" w:rsidRPr="003558B4" w:rsidSect="001B302A">
      <w:pgSz w:w="15840" w:h="1224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J Infectious Disease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wptet22k55aw7ef52a59fafdrd229509tpf&quot;&gt;NCG&lt;record-ids&gt;&lt;item&gt;1211&lt;/item&gt;&lt;item&gt;1364&lt;/item&gt;&lt;item&gt;1365&lt;/item&gt;&lt;item&gt;2423&lt;/item&gt;&lt;/record-ids&gt;&lt;/item&gt;&lt;/Libraries&gt;"/>
  </w:docVars>
  <w:rsids>
    <w:rsidRoot w:val="00B755B7"/>
    <w:rsid w:val="000B5762"/>
    <w:rsid w:val="001B302A"/>
    <w:rsid w:val="001C26A1"/>
    <w:rsid w:val="001E1C96"/>
    <w:rsid w:val="001E6884"/>
    <w:rsid w:val="00251FDA"/>
    <w:rsid w:val="00265C38"/>
    <w:rsid w:val="00342F72"/>
    <w:rsid w:val="003558B4"/>
    <w:rsid w:val="0048724C"/>
    <w:rsid w:val="004D35D3"/>
    <w:rsid w:val="006015C2"/>
    <w:rsid w:val="006A0DDA"/>
    <w:rsid w:val="00722BEA"/>
    <w:rsid w:val="008C52D2"/>
    <w:rsid w:val="008F3142"/>
    <w:rsid w:val="00987BB9"/>
    <w:rsid w:val="009D3353"/>
    <w:rsid w:val="00AE6BED"/>
    <w:rsid w:val="00B755B7"/>
    <w:rsid w:val="00C25F01"/>
    <w:rsid w:val="00E20D25"/>
    <w:rsid w:val="00F858F0"/>
    <w:rsid w:val="00FD54E0"/>
    <w:rsid w:val="00FF6C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6B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5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5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Grassly</dc:creator>
  <cp:lastModifiedBy>ncg</cp:lastModifiedBy>
  <cp:revision>4</cp:revision>
  <cp:lastPrinted>2011-12-24T10:14:00Z</cp:lastPrinted>
  <dcterms:created xsi:type="dcterms:W3CDTF">2012-02-01T16:31:00Z</dcterms:created>
  <dcterms:modified xsi:type="dcterms:W3CDTF">2012-02-02T23:46:00Z</dcterms:modified>
</cp:coreProperties>
</file>