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6C14" w14:textId="468A7534" w:rsidR="00420DE7" w:rsidRPr="00EC1116" w:rsidRDefault="00420DE7" w:rsidP="00420DE7">
      <w:pPr>
        <w:pStyle w:val="PlainText"/>
        <w:widowControl w:val="0"/>
        <w:adjustRightInd w:val="0"/>
        <w:snapToGrid w:val="0"/>
        <w:spacing w:after="120"/>
        <w:jc w:val="both"/>
        <w:rPr>
          <w:rFonts w:ascii="Times New Roman" w:hAnsi="Times New Roman"/>
          <w:color w:val="000000" w:themeColor="text1"/>
          <w:sz w:val="24"/>
          <w:szCs w:val="24"/>
          <w:lang w:val="en-CA"/>
        </w:rPr>
      </w:pPr>
      <w:r>
        <w:rPr>
          <w:rFonts w:ascii="Times New Roman" w:hAnsi="Times New Roman"/>
          <w:b/>
          <w:bCs/>
          <w:color w:val="000000" w:themeColor="text1"/>
          <w:sz w:val="24"/>
          <w:szCs w:val="24"/>
          <w:lang w:val="en-CA"/>
        </w:rPr>
        <w:t xml:space="preserve">S4 </w:t>
      </w:r>
      <w:r w:rsidRPr="00EC1116">
        <w:rPr>
          <w:rFonts w:ascii="Times New Roman" w:hAnsi="Times New Roman"/>
          <w:b/>
          <w:bCs/>
          <w:color w:val="000000" w:themeColor="text1"/>
          <w:sz w:val="24"/>
          <w:szCs w:val="24"/>
          <w:lang w:val="en-CA"/>
        </w:rPr>
        <w:t>Table</w:t>
      </w:r>
      <w:bookmarkStart w:id="0" w:name="_GoBack"/>
      <w:bookmarkEnd w:id="0"/>
      <w:r w:rsidRPr="00EC1116">
        <w:rPr>
          <w:rFonts w:ascii="Times New Roman" w:hAnsi="Times New Roman"/>
          <w:b/>
          <w:bCs/>
          <w:color w:val="000000" w:themeColor="text1"/>
          <w:sz w:val="24"/>
          <w:szCs w:val="24"/>
          <w:lang w:val="en-CA"/>
        </w:rPr>
        <w:t xml:space="preserve">: </w:t>
      </w:r>
      <w:r w:rsidRPr="00EC1116">
        <w:rPr>
          <w:rFonts w:ascii="Times New Roman" w:hAnsi="Times New Roman"/>
          <w:b/>
          <w:color w:val="000000" w:themeColor="text1"/>
          <w:sz w:val="24"/>
          <w:szCs w:val="24"/>
          <w:lang w:val="en-CA"/>
        </w:rPr>
        <w:t>Outer membrane permeabilization by peptides cf. antibiotics at 10-fold higher than their corresponding MICs.</w:t>
      </w:r>
      <w:r w:rsidRPr="00EC1116">
        <w:rPr>
          <w:rFonts w:ascii="Times New Roman" w:hAnsi="Times New Roman"/>
          <w:color w:val="000000" w:themeColor="text1"/>
          <w:sz w:val="24"/>
          <w:szCs w:val="24"/>
          <w:lang w:val="en-CA"/>
        </w:rPr>
        <w:t xml:space="preserve"> The uptake of the fluorophore NPN in the presence of different antibiotics and synthetic peptides was determined by assessing increased fluorescence at an excitation wavelength of 350 nm and an emission wavelength of 420 nm due to partition of the normally impermeable hydrophobic NPN into bacterial membranes. Relative fluorescence values of at least three biological replicates were determined by subtracting the fluorescence value without test substance.</w:t>
      </w:r>
    </w:p>
    <w:tbl>
      <w:tblPr>
        <w:tblStyle w:val="TableGrid"/>
        <w:tblW w:w="5000" w:type="pct"/>
        <w:jc w:val="center"/>
        <w:tblLayout w:type="fixed"/>
        <w:tblCellMar>
          <w:left w:w="29" w:type="dxa"/>
          <w:right w:w="29" w:type="dxa"/>
        </w:tblCellMar>
        <w:tblLook w:val="04A0" w:firstRow="1" w:lastRow="0" w:firstColumn="1" w:lastColumn="0" w:noHBand="0" w:noVBand="1"/>
      </w:tblPr>
      <w:tblGrid>
        <w:gridCol w:w="2438"/>
        <w:gridCol w:w="1262"/>
        <w:gridCol w:w="1122"/>
        <w:gridCol w:w="1122"/>
        <w:gridCol w:w="1201"/>
        <w:gridCol w:w="982"/>
        <w:gridCol w:w="1223"/>
      </w:tblGrid>
      <w:tr w:rsidR="00420DE7" w:rsidRPr="00EC1116" w14:paraId="70CE17B6" w14:textId="77777777" w:rsidTr="006B0DCE">
        <w:trPr>
          <w:jc w:val="center"/>
        </w:trPr>
        <w:tc>
          <w:tcPr>
            <w:tcW w:w="1304" w:type="pct"/>
            <w:vMerge w:val="restart"/>
            <w:vAlign w:val="center"/>
          </w:tcPr>
          <w:p w14:paraId="2A473A45" w14:textId="77777777" w:rsidR="00420DE7" w:rsidRPr="00EC1116" w:rsidRDefault="00420DE7" w:rsidP="006B0DCE">
            <w:pPr>
              <w:widowControl w:val="0"/>
              <w:spacing w:line="240" w:lineRule="auto"/>
              <w:jc w:val="center"/>
              <w:rPr>
                <w:b/>
                <w:iCs/>
                <w:color w:val="000000" w:themeColor="text1"/>
              </w:rPr>
            </w:pPr>
            <w:r w:rsidRPr="00EC1116">
              <w:rPr>
                <w:b/>
                <w:iCs/>
                <w:color w:val="000000" w:themeColor="text1"/>
              </w:rPr>
              <w:t>Strain</w:t>
            </w:r>
          </w:p>
        </w:tc>
        <w:tc>
          <w:tcPr>
            <w:tcW w:w="3696" w:type="pct"/>
            <w:gridSpan w:val="6"/>
            <w:vAlign w:val="center"/>
          </w:tcPr>
          <w:p w14:paraId="09933E6A" w14:textId="77777777" w:rsidR="00420DE7" w:rsidRPr="00EC1116" w:rsidRDefault="00420DE7" w:rsidP="006B0DCE">
            <w:pPr>
              <w:widowControl w:val="0"/>
              <w:spacing w:line="240" w:lineRule="auto"/>
              <w:jc w:val="center"/>
              <w:rPr>
                <w:b/>
                <w:color w:val="000000" w:themeColor="text1"/>
                <w:lang w:val="en-US"/>
              </w:rPr>
            </w:pPr>
            <w:r w:rsidRPr="00EC1116">
              <w:rPr>
                <w:color w:val="000000" w:themeColor="text1"/>
                <w:lang w:val="en-CA"/>
              </w:rPr>
              <w:t xml:space="preserve">Relative NPN Fluorescence (Mean </w:t>
            </w:r>
            <w:r w:rsidRPr="00EC1116">
              <w:rPr>
                <w:color w:val="000000" w:themeColor="text1"/>
                <w:lang w:val="en-US"/>
              </w:rPr>
              <w:t>±</w:t>
            </w:r>
            <w:r w:rsidRPr="00EC1116">
              <w:rPr>
                <w:color w:val="000000" w:themeColor="text1"/>
                <w:lang w:val="en-CA"/>
              </w:rPr>
              <w:t xml:space="preserve"> Standard Error)</w:t>
            </w:r>
          </w:p>
        </w:tc>
      </w:tr>
      <w:tr w:rsidR="00420DE7" w:rsidRPr="00EC1116" w14:paraId="14489397" w14:textId="77777777" w:rsidTr="006B0DCE">
        <w:trPr>
          <w:jc w:val="center"/>
        </w:trPr>
        <w:tc>
          <w:tcPr>
            <w:tcW w:w="1304" w:type="pct"/>
            <w:vMerge/>
            <w:vAlign w:val="center"/>
          </w:tcPr>
          <w:p w14:paraId="2D708B97" w14:textId="77777777" w:rsidR="00420DE7" w:rsidRPr="00EC1116" w:rsidRDefault="00420DE7" w:rsidP="006B0DCE">
            <w:pPr>
              <w:widowControl w:val="0"/>
              <w:spacing w:line="240" w:lineRule="auto"/>
              <w:jc w:val="center"/>
              <w:rPr>
                <w:b/>
                <w:iCs/>
                <w:color w:val="000000" w:themeColor="text1"/>
                <w:lang w:val="en-US"/>
              </w:rPr>
            </w:pPr>
          </w:p>
        </w:tc>
        <w:tc>
          <w:tcPr>
            <w:tcW w:w="675" w:type="pct"/>
            <w:vAlign w:val="center"/>
          </w:tcPr>
          <w:p w14:paraId="51A7FE0A" w14:textId="77777777" w:rsidR="00420DE7" w:rsidRPr="00EC1116" w:rsidRDefault="00420DE7" w:rsidP="006B0DCE">
            <w:pPr>
              <w:widowControl w:val="0"/>
              <w:spacing w:line="240" w:lineRule="auto"/>
              <w:jc w:val="center"/>
              <w:rPr>
                <w:b/>
                <w:color w:val="000000" w:themeColor="text1"/>
              </w:rPr>
            </w:pPr>
            <w:r w:rsidRPr="00EC1116">
              <w:rPr>
                <w:b/>
                <w:color w:val="000000" w:themeColor="text1"/>
              </w:rPr>
              <w:t>Antibiotic</w:t>
            </w:r>
            <w:r w:rsidRPr="00EC1116">
              <w:rPr>
                <w:b/>
                <w:color w:val="000000" w:themeColor="text1"/>
                <w:vertAlign w:val="superscript"/>
              </w:rPr>
              <w:t>a</w:t>
            </w:r>
          </w:p>
        </w:tc>
        <w:tc>
          <w:tcPr>
            <w:tcW w:w="600" w:type="pct"/>
            <w:vAlign w:val="center"/>
          </w:tcPr>
          <w:p w14:paraId="34C9ABD6" w14:textId="77777777" w:rsidR="00420DE7" w:rsidRPr="00EC1116" w:rsidRDefault="00420DE7" w:rsidP="006B0DCE">
            <w:pPr>
              <w:widowControl w:val="0"/>
              <w:spacing w:line="240" w:lineRule="auto"/>
              <w:jc w:val="center"/>
              <w:rPr>
                <w:b/>
                <w:color w:val="000000" w:themeColor="text1"/>
              </w:rPr>
            </w:pPr>
            <w:r w:rsidRPr="00EC1116">
              <w:rPr>
                <w:b/>
                <w:color w:val="000000" w:themeColor="text1"/>
              </w:rPr>
              <w:t>1018</w:t>
            </w:r>
          </w:p>
        </w:tc>
        <w:tc>
          <w:tcPr>
            <w:tcW w:w="600" w:type="pct"/>
            <w:vAlign w:val="center"/>
          </w:tcPr>
          <w:p w14:paraId="37D2014A" w14:textId="77777777" w:rsidR="00420DE7" w:rsidRPr="00EC1116" w:rsidRDefault="00420DE7" w:rsidP="006B0DCE">
            <w:pPr>
              <w:widowControl w:val="0"/>
              <w:spacing w:line="240" w:lineRule="auto"/>
              <w:jc w:val="center"/>
              <w:rPr>
                <w:b/>
                <w:color w:val="000000" w:themeColor="text1"/>
              </w:rPr>
            </w:pPr>
            <w:r w:rsidRPr="00EC1116">
              <w:rPr>
                <w:b/>
                <w:color w:val="000000" w:themeColor="text1"/>
              </w:rPr>
              <w:t>HHC-10</w:t>
            </w:r>
          </w:p>
        </w:tc>
        <w:tc>
          <w:tcPr>
            <w:tcW w:w="642" w:type="pct"/>
            <w:vAlign w:val="center"/>
          </w:tcPr>
          <w:p w14:paraId="0E8857D7" w14:textId="77777777" w:rsidR="00420DE7" w:rsidRPr="00EC1116" w:rsidRDefault="00420DE7" w:rsidP="006B0DCE">
            <w:pPr>
              <w:widowControl w:val="0"/>
              <w:spacing w:line="240" w:lineRule="auto"/>
              <w:jc w:val="center"/>
              <w:rPr>
                <w:b/>
                <w:color w:val="000000" w:themeColor="text1"/>
              </w:rPr>
            </w:pPr>
            <w:r w:rsidRPr="00EC1116">
              <w:rPr>
                <w:b/>
                <w:color w:val="000000" w:themeColor="text1"/>
              </w:rPr>
              <w:t>DJK-5</w:t>
            </w:r>
          </w:p>
        </w:tc>
        <w:tc>
          <w:tcPr>
            <w:tcW w:w="525" w:type="pct"/>
            <w:vAlign w:val="center"/>
          </w:tcPr>
          <w:p w14:paraId="1F9E926C" w14:textId="77777777" w:rsidR="00420DE7" w:rsidRPr="00EC1116" w:rsidRDefault="00420DE7" w:rsidP="006B0DCE">
            <w:pPr>
              <w:widowControl w:val="0"/>
              <w:spacing w:line="240" w:lineRule="auto"/>
              <w:jc w:val="center"/>
              <w:rPr>
                <w:b/>
                <w:color w:val="000000" w:themeColor="text1"/>
              </w:rPr>
            </w:pPr>
            <w:r w:rsidRPr="00EC1116">
              <w:rPr>
                <w:b/>
                <w:color w:val="000000" w:themeColor="text1"/>
              </w:rPr>
              <w:t>1002</w:t>
            </w:r>
          </w:p>
        </w:tc>
        <w:tc>
          <w:tcPr>
            <w:tcW w:w="652" w:type="pct"/>
            <w:vAlign w:val="center"/>
          </w:tcPr>
          <w:p w14:paraId="2163FF5F" w14:textId="77777777" w:rsidR="00420DE7" w:rsidRPr="00EC1116" w:rsidRDefault="00420DE7" w:rsidP="006B0DCE">
            <w:pPr>
              <w:widowControl w:val="0"/>
              <w:spacing w:line="240" w:lineRule="auto"/>
              <w:jc w:val="center"/>
              <w:rPr>
                <w:b/>
                <w:color w:val="000000" w:themeColor="text1"/>
              </w:rPr>
            </w:pPr>
            <w:r w:rsidRPr="00EC1116">
              <w:rPr>
                <w:b/>
                <w:color w:val="000000" w:themeColor="text1"/>
              </w:rPr>
              <w:t>Colistin</w:t>
            </w:r>
          </w:p>
        </w:tc>
      </w:tr>
      <w:tr w:rsidR="00420DE7" w:rsidRPr="00EC1116" w14:paraId="6B90DBEB" w14:textId="77777777" w:rsidTr="006B0DCE">
        <w:trPr>
          <w:jc w:val="center"/>
        </w:trPr>
        <w:tc>
          <w:tcPr>
            <w:tcW w:w="1304" w:type="pct"/>
            <w:vAlign w:val="bottom"/>
          </w:tcPr>
          <w:p w14:paraId="3F52C48C" w14:textId="77777777" w:rsidR="00420DE7" w:rsidRPr="00EC1116" w:rsidRDefault="00420DE7" w:rsidP="006B0DCE">
            <w:pPr>
              <w:widowControl w:val="0"/>
              <w:spacing w:line="240" w:lineRule="auto"/>
              <w:jc w:val="center"/>
              <w:rPr>
                <w:b/>
                <w:color w:val="000000" w:themeColor="text1"/>
                <w:lang w:val="en-CA"/>
              </w:rPr>
            </w:pPr>
            <w:r w:rsidRPr="00EC1116">
              <w:rPr>
                <w:i/>
                <w:iCs/>
                <w:color w:val="000000" w:themeColor="text1"/>
              </w:rPr>
              <w:t xml:space="preserve">A. baumannii </w:t>
            </w:r>
            <w:r w:rsidRPr="00EC1116">
              <w:rPr>
                <w:iCs/>
                <w:color w:val="000000" w:themeColor="text1"/>
              </w:rPr>
              <w:t>Ab5075</w:t>
            </w:r>
          </w:p>
        </w:tc>
        <w:tc>
          <w:tcPr>
            <w:tcW w:w="675" w:type="pct"/>
            <w:vAlign w:val="center"/>
          </w:tcPr>
          <w:p w14:paraId="654B0DA4"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0 ± 0</w:t>
            </w:r>
          </w:p>
        </w:tc>
        <w:tc>
          <w:tcPr>
            <w:tcW w:w="600" w:type="pct"/>
            <w:vAlign w:val="center"/>
          </w:tcPr>
          <w:p w14:paraId="0B57442B"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110 ± 4.0</w:t>
            </w:r>
            <w:r w:rsidRPr="00EC1116">
              <w:rPr>
                <w:color w:val="000000" w:themeColor="text1"/>
                <w:vertAlign w:val="superscript"/>
              </w:rPr>
              <w:t>d</w:t>
            </w:r>
          </w:p>
        </w:tc>
        <w:tc>
          <w:tcPr>
            <w:tcW w:w="600" w:type="pct"/>
            <w:vAlign w:val="center"/>
          </w:tcPr>
          <w:p w14:paraId="2DDED534"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73 ± 1.5</w:t>
            </w:r>
          </w:p>
        </w:tc>
        <w:tc>
          <w:tcPr>
            <w:tcW w:w="642" w:type="pct"/>
            <w:vAlign w:val="center"/>
          </w:tcPr>
          <w:p w14:paraId="58A5EC7A"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11 ± 3.0</w:t>
            </w:r>
            <w:r w:rsidRPr="00EC1116">
              <w:rPr>
                <w:color w:val="000000" w:themeColor="text1"/>
                <w:vertAlign w:val="superscript"/>
              </w:rPr>
              <w:t>d</w:t>
            </w:r>
          </w:p>
        </w:tc>
        <w:tc>
          <w:tcPr>
            <w:tcW w:w="525" w:type="pct"/>
            <w:vAlign w:val="center"/>
          </w:tcPr>
          <w:p w14:paraId="706DF430"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45 ± 9.1</w:t>
            </w:r>
          </w:p>
        </w:tc>
        <w:tc>
          <w:tcPr>
            <w:tcW w:w="652" w:type="pct"/>
            <w:vAlign w:val="center"/>
          </w:tcPr>
          <w:p w14:paraId="453DB68B"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101 ± 16</w:t>
            </w:r>
            <w:r w:rsidRPr="00EC1116">
              <w:rPr>
                <w:color w:val="000000" w:themeColor="text1"/>
                <w:vertAlign w:val="superscript"/>
              </w:rPr>
              <w:t>d</w:t>
            </w:r>
          </w:p>
        </w:tc>
      </w:tr>
      <w:tr w:rsidR="00420DE7" w:rsidRPr="00EC1116" w14:paraId="034FBB82" w14:textId="77777777" w:rsidTr="006B0DCE">
        <w:trPr>
          <w:jc w:val="center"/>
        </w:trPr>
        <w:tc>
          <w:tcPr>
            <w:tcW w:w="1304" w:type="pct"/>
            <w:vAlign w:val="bottom"/>
          </w:tcPr>
          <w:p w14:paraId="2F51B604" w14:textId="77777777" w:rsidR="00420DE7" w:rsidRPr="00EC1116" w:rsidRDefault="00420DE7" w:rsidP="006B0DCE">
            <w:pPr>
              <w:widowControl w:val="0"/>
              <w:spacing w:line="240" w:lineRule="auto"/>
              <w:jc w:val="center"/>
              <w:rPr>
                <w:b/>
                <w:color w:val="000000" w:themeColor="text1"/>
                <w:lang w:val="en-CA"/>
              </w:rPr>
            </w:pPr>
            <w:r w:rsidRPr="00EC1116">
              <w:rPr>
                <w:i/>
                <w:iCs/>
                <w:color w:val="000000" w:themeColor="text1"/>
              </w:rPr>
              <w:t xml:space="preserve">E. coli </w:t>
            </w:r>
            <w:r w:rsidRPr="00EC1116">
              <w:rPr>
                <w:iCs/>
                <w:color w:val="000000" w:themeColor="text1"/>
              </w:rPr>
              <w:t>E38</w:t>
            </w:r>
          </w:p>
        </w:tc>
        <w:tc>
          <w:tcPr>
            <w:tcW w:w="675" w:type="pct"/>
            <w:vAlign w:val="center"/>
          </w:tcPr>
          <w:p w14:paraId="6CC083CD"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18 ± 17</w:t>
            </w:r>
          </w:p>
        </w:tc>
        <w:tc>
          <w:tcPr>
            <w:tcW w:w="600" w:type="pct"/>
            <w:vAlign w:val="center"/>
          </w:tcPr>
          <w:p w14:paraId="308D5333"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68 ± 9</w:t>
            </w:r>
            <w:r w:rsidRPr="00EC1116">
              <w:rPr>
                <w:color w:val="000000" w:themeColor="text1"/>
                <w:vertAlign w:val="superscript"/>
              </w:rPr>
              <w:t>d</w:t>
            </w:r>
          </w:p>
        </w:tc>
        <w:tc>
          <w:tcPr>
            <w:tcW w:w="600" w:type="pct"/>
            <w:vAlign w:val="center"/>
          </w:tcPr>
          <w:p w14:paraId="38BD8B98"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48 ± 3.0</w:t>
            </w:r>
          </w:p>
        </w:tc>
        <w:tc>
          <w:tcPr>
            <w:tcW w:w="642" w:type="pct"/>
            <w:vAlign w:val="center"/>
          </w:tcPr>
          <w:p w14:paraId="5AA1054F"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58 ± 18</w:t>
            </w:r>
          </w:p>
        </w:tc>
        <w:tc>
          <w:tcPr>
            <w:tcW w:w="525" w:type="pct"/>
            <w:vAlign w:val="center"/>
          </w:tcPr>
          <w:p w14:paraId="6E557F4A"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22 ± 10</w:t>
            </w:r>
          </w:p>
        </w:tc>
        <w:tc>
          <w:tcPr>
            <w:tcW w:w="652" w:type="pct"/>
            <w:vAlign w:val="center"/>
          </w:tcPr>
          <w:p w14:paraId="610120AF"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91 ± 12</w:t>
            </w:r>
            <w:r w:rsidRPr="00EC1116">
              <w:rPr>
                <w:color w:val="000000" w:themeColor="text1"/>
                <w:vertAlign w:val="superscript"/>
              </w:rPr>
              <w:t>d</w:t>
            </w:r>
          </w:p>
        </w:tc>
      </w:tr>
      <w:tr w:rsidR="00420DE7" w:rsidRPr="00EC1116" w14:paraId="12393889" w14:textId="77777777" w:rsidTr="006B0DCE">
        <w:trPr>
          <w:jc w:val="center"/>
        </w:trPr>
        <w:tc>
          <w:tcPr>
            <w:tcW w:w="1304" w:type="pct"/>
            <w:vAlign w:val="bottom"/>
          </w:tcPr>
          <w:p w14:paraId="24D92D37" w14:textId="77777777" w:rsidR="00420DE7" w:rsidRPr="00EC1116" w:rsidRDefault="00420DE7" w:rsidP="006B0DCE">
            <w:pPr>
              <w:widowControl w:val="0"/>
              <w:spacing w:line="240" w:lineRule="auto"/>
              <w:jc w:val="center"/>
              <w:rPr>
                <w:b/>
                <w:color w:val="000000" w:themeColor="text1"/>
                <w:lang w:val="en-CA"/>
              </w:rPr>
            </w:pPr>
            <w:r w:rsidRPr="00EC1116">
              <w:rPr>
                <w:i/>
                <w:iCs/>
                <w:color w:val="000000" w:themeColor="text1"/>
              </w:rPr>
              <w:t xml:space="preserve">E. cloacae </w:t>
            </w:r>
            <w:r w:rsidRPr="00EC1116">
              <w:rPr>
                <w:iCs/>
                <w:color w:val="000000" w:themeColor="text1"/>
              </w:rPr>
              <w:t>218R1</w:t>
            </w:r>
          </w:p>
        </w:tc>
        <w:tc>
          <w:tcPr>
            <w:tcW w:w="675" w:type="pct"/>
            <w:vAlign w:val="center"/>
          </w:tcPr>
          <w:p w14:paraId="3AA8594C"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0 ± 0</w:t>
            </w:r>
          </w:p>
        </w:tc>
        <w:tc>
          <w:tcPr>
            <w:tcW w:w="600" w:type="pct"/>
            <w:vAlign w:val="center"/>
          </w:tcPr>
          <w:p w14:paraId="67767992"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101 ± 21</w:t>
            </w:r>
            <w:r w:rsidRPr="00EC1116">
              <w:rPr>
                <w:color w:val="000000" w:themeColor="text1"/>
                <w:vertAlign w:val="superscript"/>
              </w:rPr>
              <w:t>d</w:t>
            </w:r>
          </w:p>
        </w:tc>
        <w:tc>
          <w:tcPr>
            <w:tcW w:w="600" w:type="pct"/>
            <w:vAlign w:val="center"/>
          </w:tcPr>
          <w:p w14:paraId="4722C263"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77 ± 4.6</w:t>
            </w:r>
            <w:r w:rsidRPr="00EC1116">
              <w:rPr>
                <w:color w:val="000000" w:themeColor="text1"/>
                <w:vertAlign w:val="superscript"/>
              </w:rPr>
              <w:t>d</w:t>
            </w:r>
          </w:p>
        </w:tc>
        <w:tc>
          <w:tcPr>
            <w:tcW w:w="642" w:type="pct"/>
            <w:vAlign w:val="center"/>
          </w:tcPr>
          <w:p w14:paraId="1B881C78"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51 ± 16</w:t>
            </w:r>
          </w:p>
        </w:tc>
        <w:tc>
          <w:tcPr>
            <w:tcW w:w="525" w:type="pct"/>
            <w:vAlign w:val="center"/>
          </w:tcPr>
          <w:p w14:paraId="4FB8EC87"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2.1 ± 1.2</w:t>
            </w:r>
          </w:p>
        </w:tc>
        <w:tc>
          <w:tcPr>
            <w:tcW w:w="652" w:type="pct"/>
            <w:vAlign w:val="center"/>
          </w:tcPr>
          <w:p w14:paraId="0456D515"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111 ± 7.2</w:t>
            </w:r>
            <w:r w:rsidRPr="00EC1116">
              <w:rPr>
                <w:color w:val="000000" w:themeColor="text1"/>
                <w:vertAlign w:val="superscript"/>
              </w:rPr>
              <w:t>d</w:t>
            </w:r>
          </w:p>
        </w:tc>
      </w:tr>
      <w:tr w:rsidR="00420DE7" w:rsidRPr="00EC1116" w14:paraId="25D33DA7" w14:textId="77777777" w:rsidTr="006B0DCE">
        <w:trPr>
          <w:jc w:val="center"/>
        </w:trPr>
        <w:tc>
          <w:tcPr>
            <w:tcW w:w="1304" w:type="pct"/>
            <w:vAlign w:val="bottom"/>
          </w:tcPr>
          <w:p w14:paraId="383A9232" w14:textId="77777777" w:rsidR="00420DE7" w:rsidRPr="00EC1116" w:rsidRDefault="00420DE7" w:rsidP="006B0DCE">
            <w:pPr>
              <w:widowControl w:val="0"/>
              <w:spacing w:line="240" w:lineRule="auto"/>
              <w:jc w:val="center"/>
              <w:rPr>
                <w:b/>
                <w:color w:val="000000" w:themeColor="text1"/>
                <w:lang w:val="en-CA"/>
              </w:rPr>
            </w:pPr>
            <w:r w:rsidRPr="00EC1116">
              <w:rPr>
                <w:i/>
                <w:iCs/>
                <w:color w:val="000000" w:themeColor="text1"/>
              </w:rPr>
              <w:t xml:space="preserve">K. pneumoniae </w:t>
            </w:r>
            <w:r w:rsidRPr="00EC1116">
              <w:rPr>
                <w:iCs/>
                <w:color w:val="000000" w:themeColor="text1"/>
              </w:rPr>
              <w:t>KPN649</w:t>
            </w:r>
          </w:p>
        </w:tc>
        <w:tc>
          <w:tcPr>
            <w:tcW w:w="675" w:type="pct"/>
            <w:vAlign w:val="center"/>
          </w:tcPr>
          <w:p w14:paraId="3A076B5F"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13 ± 11</w:t>
            </w:r>
          </w:p>
        </w:tc>
        <w:tc>
          <w:tcPr>
            <w:tcW w:w="600" w:type="pct"/>
            <w:vAlign w:val="center"/>
          </w:tcPr>
          <w:p w14:paraId="49AEE1DE"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92 ± 17</w:t>
            </w:r>
            <w:r w:rsidRPr="00EC1116">
              <w:rPr>
                <w:color w:val="000000" w:themeColor="text1"/>
                <w:vertAlign w:val="superscript"/>
              </w:rPr>
              <w:t>d</w:t>
            </w:r>
          </w:p>
        </w:tc>
        <w:tc>
          <w:tcPr>
            <w:tcW w:w="600" w:type="pct"/>
            <w:vAlign w:val="center"/>
          </w:tcPr>
          <w:p w14:paraId="551BF0FE"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87 ± 23</w:t>
            </w:r>
            <w:r w:rsidRPr="00EC1116">
              <w:rPr>
                <w:color w:val="000000" w:themeColor="text1"/>
                <w:vertAlign w:val="superscript"/>
              </w:rPr>
              <w:t>d</w:t>
            </w:r>
          </w:p>
        </w:tc>
        <w:tc>
          <w:tcPr>
            <w:tcW w:w="642" w:type="pct"/>
            <w:vAlign w:val="center"/>
          </w:tcPr>
          <w:p w14:paraId="2BF916F8"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36 ± 15</w:t>
            </w:r>
          </w:p>
        </w:tc>
        <w:tc>
          <w:tcPr>
            <w:tcW w:w="525" w:type="pct"/>
            <w:vAlign w:val="center"/>
          </w:tcPr>
          <w:p w14:paraId="0DF2E1A4"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4.6 ± 4.6</w:t>
            </w:r>
          </w:p>
        </w:tc>
        <w:tc>
          <w:tcPr>
            <w:tcW w:w="652" w:type="pct"/>
            <w:vAlign w:val="center"/>
          </w:tcPr>
          <w:p w14:paraId="39C7173C" w14:textId="77777777" w:rsidR="00420DE7" w:rsidRPr="00EC1116" w:rsidRDefault="00420DE7" w:rsidP="006B0DCE">
            <w:pPr>
              <w:widowControl w:val="0"/>
              <w:spacing w:line="240" w:lineRule="auto"/>
              <w:jc w:val="center"/>
              <w:rPr>
                <w:b/>
                <w:color w:val="000000" w:themeColor="text1"/>
                <w:lang w:val="en-CA"/>
              </w:rPr>
            </w:pPr>
            <w:r w:rsidRPr="00EC1116">
              <w:rPr>
                <w:color w:val="000000" w:themeColor="text1"/>
              </w:rPr>
              <w:t>105 ± 15</w:t>
            </w:r>
            <w:r w:rsidRPr="00EC1116">
              <w:rPr>
                <w:color w:val="000000" w:themeColor="text1"/>
                <w:vertAlign w:val="superscript"/>
              </w:rPr>
              <w:t>d</w:t>
            </w:r>
          </w:p>
        </w:tc>
      </w:tr>
      <w:tr w:rsidR="00420DE7" w:rsidRPr="00EC1116" w14:paraId="3F9A1938" w14:textId="77777777" w:rsidTr="006B0DCE">
        <w:trPr>
          <w:jc w:val="center"/>
        </w:trPr>
        <w:tc>
          <w:tcPr>
            <w:tcW w:w="1304" w:type="pct"/>
            <w:vAlign w:val="bottom"/>
          </w:tcPr>
          <w:p w14:paraId="33F0F5E0" w14:textId="77777777" w:rsidR="00420DE7" w:rsidRPr="00EC1116" w:rsidRDefault="00420DE7" w:rsidP="006B0DCE">
            <w:pPr>
              <w:widowControl w:val="0"/>
              <w:spacing w:line="240" w:lineRule="auto"/>
              <w:jc w:val="center"/>
              <w:rPr>
                <w:i/>
                <w:iCs/>
                <w:color w:val="000000" w:themeColor="text1"/>
              </w:rPr>
            </w:pPr>
            <w:r w:rsidRPr="00EC1116">
              <w:rPr>
                <w:i/>
                <w:iCs/>
                <w:color w:val="000000" w:themeColor="text1"/>
              </w:rPr>
              <w:t xml:space="preserve">P. aeruginosa </w:t>
            </w:r>
            <w:r w:rsidRPr="00EC1116">
              <w:rPr>
                <w:iCs/>
                <w:color w:val="000000" w:themeColor="text1"/>
              </w:rPr>
              <w:t>LESB58</w:t>
            </w:r>
          </w:p>
        </w:tc>
        <w:tc>
          <w:tcPr>
            <w:tcW w:w="675" w:type="pct"/>
            <w:vAlign w:val="center"/>
          </w:tcPr>
          <w:p w14:paraId="3E1573C8" w14:textId="77777777" w:rsidR="00420DE7" w:rsidRPr="00EC1116" w:rsidRDefault="00420DE7" w:rsidP="006B0DCE">
            <w:pPr>
              <w:widowControl w:val="0"/>
              <w:spacing w:line="240" w:lineRule="auto"/>
              <w:jc w:val="center"/>
              <w:rPr>
                <w:color w:val="000000" w:themeColor="text1"/>
              </w:rPr>
            </w:pPr>
            <w:r w:rsidRPr="00EC1116">
              <w:rPr>
                <w:color w:val="000000" w:themeColor="text1"/>
              </w:rPr>
              <w:t>0.6 ± 0.6</w:t>
            </w:r>
          </w:p>
        </w:tc>
        <w:tc>
          <w:tcPr>
            <w:tcW w:w="600" w:type="pct"/>
            <w:vAlign w:val="center"/>
          </w:tcPr>
          <w:p w14:paraId="58079E97" w14:textId="77777777" w:rsidR="00420DE7" w:rsidRPr="00EC1116" w:rsidRDefault="00420DE7" w:rsidP="006B0DCE">
            <w:pPr>
              <w:widowControl w:val="0"/>
              <w:spacing w:line="240" w:lineRule="auto"/>
              <w:jc w:val="center"/>
              <w:rPr>
                <w:color w:val="000000" w:themeColor="text1"/>
              </w:rPr>
            </w:pPr>
            <w:r w:rsidRPr="00EC1116">
              <w:rPr>
                <w:color w:val="000000" w:themeColor="text1"/>
              </w:rPr>
              <w:t>333 ± 140</w:t>
            </w:r>
            <w:r w:rsidRPr="00EC1116">
              <w:rPr>
                <w:color w:val="000000" w:themeColor="text1"/>
                <w:vertAlign w:val="superscript"/>
              </w:rPr>
              <w:t>d</w:t>
            </w:r>
          </w:p>
        </w:tc>
        <w:tc>
          <w:tcPr>
            <w:tcW w:w="600" w:type="pct"/>
            <w:vAlign w:val="center"/>
          </w:tcPr>
          <w:p w14:paraId="375BE604" w14:textId="77777777" w:rsidR="00420DE7" w:rsidRPr="00EC1116" w:rsidRDefault="00420DE7" w:rsidP="006B0DCE">
            <w:pPr>
              <w:widowControl w:val="0"/>
              <w:spacing w:line="240" w:lineRule="auto"/>
              <w:jc w:val="center"/>
              <w:rPr>
                <w:color w:val="000000" w:themeColor="text1"/>
              </w:rPr>
            </w:pPr>
            <w:r w:rsidRPr="00EC1116">
              <w:rPr>
                <w:color w:val="000000" w:themeColor="text1"/>
              </w:rPr>
              <w:t>350 ± 158</w:t>
            </w:r>
          </w:p>
        </w:tc>
        <w:tc>
          <w:tcPr>
            <w:tcW w:w="642" w:type="pct"/>
            <w:vAlign w:val="center"/>
          </w:tcPr>
          <w:p w14:paraId="5B93F527" w14:textId="77777777" w:rsidR="00420DE7" w:rsidRPr="00EC1116" w:rsidRDefault="00420DE7" w:rsidP="006B0DCE">
            <w:pPr>
              <w:widowControl w:val="0"/>
              <w:spacing w:line="240" w:lineRule="auto"/>
              <w:jc w:val="center"/>
              <w:rPr>
                <w:color w:val="000000" w:themeColor="text1"/>
              </w:rPr>
            </w:pPr>
            <w:r w:rsidRPr="00EC1116">
              <w:rPr>
                <w:color w:val="000000" w:themeColor="text1"/>
              </w:rPr>
              <w:t>353 ± 164</w:t>
            </w:r>
            <w:r w:rsidRPr="00EC1116">
              <w:rPr>
                <w:color w:val="000000" w:themeColor="text1"/>
                <w:vertAlign w:val="superscript"/>
              </w:rPr>
              <w:t>d</w:t>
            </w:r>
          </w:p>
        </w:tc>
        <w:tc>
          <w:tcPr>
            <w:tcW w:w="525" w:type="pct"/>
            <w:vAlign w:val="center"/>
          </w:tcPr>
          <w:p w14:paraId="5630C0DE" w14:textId="77777777" w:rsidR="00420DE7" w:rsidRPr="00EC1116" w:rsidRDefault="00420DE7" w:rsidP="006B0DCE">
            <w:pPr>
              <w:widowControl w:val="0"/>
              <w:spacing w:line="240" w:lineRule="auto"/>
              <w:jc w:val="center"/>
              <w:rPr>
                <w:b/>
                <w:color w:val="000000" w:themeColor="text1"/>
              </w:rPr>
            </w:pPr>
            <w:r w:rsidRPr="00EC1116">
              <w:rPr>
                <w:color w:val="000000" w:themeColor="text1"/>
              </w:rPr>
              <w:t>49 ± 28</w:t>
            </w:r>
          </w:p>
        </w:tc>
        <w:tc>
          <w:tcPr>
            <w:tcW w:w="652" w:type="pct"/>
            <w:vAlign w:val="center"/>
          </w:tcPr>
          <w:p w14:paraId="2763ED7A" w14:textId="77777777" w:rsidR="00420DE7" w:rsidRPr="00EC1116" w:rsidRDefault="00420DE7" w:rsidP="006B0DCE">
            <w:pPr>
              <w:widowControl w:val="0"/>
              <w:spacing w:line="240" w:lineRule="auto"/>
              <w:jc w:val="center"/>
              <w:rPr>
                <w:color w:val="000000" w:themeColor="text1"/>
              </w:rPr>
            </w:pPr>
            <w:r w:rsidRPr="00EC1116">
              <w:rPr>
                <w:color w:val="000000" w:themeColor="text1"/>
              </w:rPr>
              <w:t>369 ± 150</w:t>
            </w:r>
            <w:r w:rsidRPr="00EC1116">
              <w:rPr>
                <w:color w:val="000000" w:themeColor="text1"/>
                <w:vertAlign w:val="superscript"/>
              </w:rPr>
              <w:t>d</w:t>
            </w:r>
          </w:p>
        </w:tc>
      </w:tr>
      <w:tr w:rsidR="00420DE7" w:rsidRPr="00EC1116" w14:paraId="05C0165E" w14:textId="77777777" w:rsidTr="006B0DCE">
        <w:trPr>
          <w:jc w:val="center"/>
        </w:trPr>
        <w:tc>
          <w:tcPr>
            <w:tcW w:w="1304" w:type="pct"/>
            <w:vAlign w:val="bottom"/>
          </w:tcPr>
          <w:p w14:paraId="15C64027" w14:textId="77777777" w:rsidR="00420DE7" w:rsidRPr="00EC1116" w:rsidRDefault="00420DE7" w:rsidP="006B0DCE">
            <w:pPr>
              <w:widowControl w:val="0"/>
              <w:spacing w:line="240" w:lineRule="auto"/>
              <w:jc w:val="center"/>
              <w:rPr>
                <w:i/>
                <w:iCs/>
                <w:color w:val="000000" w:themeColor="text1"/>
              </w:rPr>
            </w:pPr>
            <w:r w:rsidRPr="00EC1116">
              <w:rPr>
                <w:i/>
                <w:iCs/>
                <w:color w:val="000000" w:themeColor="text1"/>
              </w:rPr>
              <w:t xml:space="preserve">E. faecium </w:t>
            </w:r>
            <w:r w:rsidRPr="00EC1116">
              <w:rPr>
                <w:iCs/>
                <w:color w:val="000000" w:themeColor="text1"/>
              </w:rPr>
              <w:t>#1-1</w:t>
            </w:r>
          </w:p>
        </w:tc>
        <w:tc>
          <w:tcPr>
            <w:tcW w:w="675" w:type="pct"/>
            <w:vAlign w:val="center"/>
          </w:tcPr>
          <w:p w14:paraId="7197E498" w14:textId="77777777" w:rsidR="00420DE7" w:rsidRPr="00EC1116" w:rsidRDefault="00420DE7" w:rsidP="006B0DCE">
            <w:pPr>
              <w:widowControl w:val="0"/>
              <w:spacing w:line="240" w:lineRule="auto"/>
              <w:jc w:val="center"/>
              <w:rPr>
                <w:color w:val="000000" w:themeColor="text1"/>
              </w:rPr>
            </w:pPr>
            <w:r w:rsidRPr="00EC1116">
              <w:rPr>
                <w:color w:val="000000" w:themeColor="text1"/>
              </w:rPr>
              <w:t>0 ± 0</w:t>
            </w:r>
            <w:r w:rsidRPr="00EC1116">
              <w:rPr>
                <w:color w:val="000000" w:themeColor="text1"/>
                <w:vertAlign w:val="superscript"/>
              </w:rPr>
              <w:t>b</w:t>
            </w:r>
          </w:p>
        </w:tc>
        <w:tc>
          <w:tcPr>
            <w:tcW w:w="600" w:type="pct"/>
            <w:vAlign w:val="center"/>
          </w:tcPr>
          <w:p w14:paraId="6B297F8C" w14:textId="77777777" w:rsidR="00420DE7" w:rsidRPr="00EC1116" w:rsidRDefault="00420DE7" w:rsidP="006B0DCE">
            <w:pPr>
              <w:widowControl w:val="0"/>
              <w:spacing w:line="240" w:lineRule="auto"/>
              <w:jc w:val="center"/>
              <w:rPr>
                <w:color w:val="000000" w:themeColor="text1"/>
              </w:rPr>
            </w:pPr>
            <w:r w:rsidRPr="00EC1116">
              <w:rPr>
                <w:color w:val="000000" w:themeColor="text1"/>
              </w:rPr>
              <w:t>2.2 ± 2.2</w:t>
            </w:r>
          </w:p>
        </w:tc>
        <w:tc>
          <w:tcPr>
            <w:tcW w:w="600" w:type="pct"/>
            <w:vAlign w:val="center"/>
          </w:tcPr>
          <w:p w14:paraId="320F0017" w14:textId="77777777" w:rsidR="00420DE7" w:rsidRPr="00EC1116" w:rsidRDefault="00420DE7" w:rsidP="006B0DCE">
            <w:pPr>
              <w:widowControl w:val="0"/>
              <w:spacing w:line="240" w:lineRule="auto"/>
              <w:jc w:val="center"/>
              <w:rPr>
                <w:color w:val="000000" w:themeColor="text1"/>
              </w:rPr>
            </w:pPr>
            <w:r w:rsidRPr="00EC1116">
              <w:rPr>
                <w:color w:val="000000" w:themeColor="text1"/>
              </w:rPr>
              <w:t>0 ± 0</w:t>
            </w:r>
          </w:p>
        </w:tc>
        <w:tc>
          <w:tcPr>
            <w:tcW w:w="642" w:type="pct"/>
            <w:vAlign w:val="center"/>
          </w:tcPr>
          <w:p w14:paraId="0483514B" w14:textId="77777777" w:rsidR="00420DE7" w:rsidRPr="00EC1116" w:rsidRDefault="00420DE7" w:rsidP="006B0DCE">
            <w:pPr>
              <w:widowControl w:val="0"/>
              <w:spacing w:line="240" w:lineRule="auto"/>
              <w:jc w:val="center"/>
              <w:rPr>
                <w:color w:val="000000" w:themeColor="text1"/>
              </w:rPr>
            </w:pPr>
            <w:r w:rsidRPr="00EC1116">
              <w:rPr>
                <w:color w:val="000000" w:themeColor="text1"/>
              </w:rPr>
              <w:t>0 ± 0</w:t>
            </w:r>
          </w:p>
        </w:tc>
        <w:tc>
          <w:tcPr>
            <w:tcW w:w="525" w:type="pct"/>
            <w:vAlign w:val="center"/>
          </w:tcPr>
          <w:p w14:paraId="3CD2630B" w14:textId="77777777" w:rsidR="00420DE7" w:rsidRPr="00EC1116" w:rsidRDefault="00420DE7" w:rsidP="006B0DCE">
            <w:pPr>
              <w:widowControl w:val="0"/>
              <w:spacing w:line="240" w:lineRule="auto"/>
              <w:jc w:val="center"/>
              <w:rPr>
                <w:color w:val="000000" w:themeColor="text1"/>
              </w:rPr>
            </w:pPr>
            <w:r w:rsidRPr="00EC1116">
              <w:rPr>
                <w:color w:val="000000" w:themeColor="text1"/>
              </w:rPr>
              <w:t>0 ± 0</w:t>
            </w:r>
          </w:p>
        </w:tc>
        <w:tc>
          <w:tcPr>
            <w:tcW w:w="652" w:type="pct"/>
            <w:vAlign w:val="center"/>
          </w:tcPr>
          <w:p w14:paraId="6E2E6AB2" w14:textId="77777777" w:rsidR="00420DE7" w:rsidRPr="00EC1116" w:rsidRDefault="00420DE7" w:rsidP="006B0DCE">
            <w:pPr>
              <w:widowControl w:val="0"/>
              <w:spacing w:line="240" w:lineRule="auto"/>
              <w:jc w:val="center"/>
              <w:rPr>
                <w:color w:val="000000" w:themeColor="text1"/>
              </w:rPr>
            </w:pPr>
            <w:r w:rsidRPr="00EC1116">
              <w:rPr>
                <w:color w:val="000000" w:themeColor="text1"/>
              </w:rPr>
              <w:t>0 ± 0</w:t>
            </w:r>
          </w:p>
        </w:tc>
      </w:tr>
      <w:tr w:rsidR="00420DE7" w:rsidRPr="00EC1116" w14:paraId="41F8063A" w14:textId="77777777" w:rsidTr="006B0DCE">
        <w:trPr>
          <w:jc w:val="center"/>
        </w:trPr>
        <w:tc>
          <w:tcPr>
            <w:tcW w:w="1304" w:type="pct"/>
            <w:vAlign w:val="bottom"/>
          </w:tcPr>
          <w:p w14:paraId="3526D69C" w14:textId="77777777" w:rsidR="00420DE7" w:rsidRPr="00EC1116" w:rsidRDefault="00420DE7" w:rsidP="006B0DCE">
            <w:pPr>
              <w:widowControl w:val="0"/>
              <w:spacing w:line="240" w:lineRule="auto"/>
              <w:jc w:val="center"/>
              <w:rPr>
                <w:i/>
                <w:iCs/>
                <w:color w:val="000000" w:themeColor="text1"/>
              </w:rPr>
            </w:pPr>
            <w:r w:rsidRPr="00EC1116">
              <w:rPr>
                <w:i/>
                <w:iCs/>
                <w:color w:val="000000" w:themeColor="text1"/>
              </w:rPr>
              <w:t xml:space="preserve">S. aureus </w:t>
            </w:r>
            <w:r w:rsidRPr="00EC1116">
              <w:rPr>
                <w:iCs/>
                <w:color w:val="000000" w:themeColor="text1"/>
              </w:rPr>
              <w:t>LAC</w:t>
            </w:r>
          </w:p>
        </w:tc>
        <w:tc>
          <w:tcPr>
            <w:tcW w:w="675" w:type="pct"/>
            <w:vAlign w:val="center"/>
          </w:tcPr>
          <w:p w14:paraId="2E03FCEF" w14:textId="77777777" w:rsidR="00420DE7" w:rsidRPr="00EC1116" w:rsidRDefault="00420DE7" w:rsidP="006B0DCE">
            <w:pPr>
              <w:widowControl w:val="0"/>
              <w:spacing w:line="240" w:lineRule="auto"/>
              <w:jc w:val="center"/>
              <w:rPr>
                <w:color w:val="000000" w:themeColor="text1"/>
              </w:rPr>
            </w:pPr>
            <w:r w:rsidRPr="00EC1116">
              <w:rPr>
                <w:color w:val="000000" w:themeColor="text1"/>
              </w:rPr>
              <w:t>1.0 ± 1.0</w:t>
            </w:r>
            <w:r w:rsidRPr="00EC1116">
              <w:rPr>
                <w:color w:val="000000" w:themeColor="text1"/>
                <w:vertAlign w:val="superscript"/>
              </w:rPr>
              <w:t>c</w:t>
            </w:r>
          </w:p>
        </w:tc>
        <w:tc>
          <w:tcPr>
            <w:tcW w:w="600" w:type="pct"/>
            <w:vAlign w:val="center"/>
          </w:tcPr>
          <w:p w14:paraId="6A0B23A1" w14:textId="77777777" w:rsidR="00420DE7" w:rsidRPr="00EC1116" w:rsidRDefault="00420DE7" w:rsidP="006B0DCE">
            <w:pPr>
              <w:widowControl w:val="0"/>
              <w:spacing w:line="240" w:lineRule="auto"/>
              <w:jc w:val="center"/>
              <w:rPr>
                <w:color w:val="000000" w:themeColor="text1"/>
              </w:rPr>
            </w:pPr>
            <w:r w:rsidRPr="00EC1116">
              <w:rPr>
                <w:color w:val="000000" w:themeColor="text1"/>
              </w:rPr>
              <w:t>4.3 ± 3.3</w:t>
            </w:r>
          </w:p>
        </w:tc>
        <w:tc>
          <w:tcPr>
            <w:tcW w:w="600" w:type="pct"/>
            <w:vAlign w:val="center"/>
          </w:tcPr>
          <w:p w14:paraId="4862CA47" w14:textId="77777777" w:rsidR="00420DE7" w:rsidRPr="00EC1116" w:rsidRDefault="00420DE7" w:rsidP="006B0DCE">
            <w:pPr>
              <w:widowControl w:val="0"/>
              <w:spacing w:line="240" w:lineRule="auto"/>
              <w:jc w:val="center"/>
              <w:rPr>
                <w:color w:val="000000" w:themeColor="text1"/>
              </w:rPr>
            </w:pPr>
            <w:r w:rsidRPr="00EC1116">
              <w:rPr>
                <w:color w:val="000000" w:themeColor="text1"/>
              </w:rPr>
              <w:t>0 ± 0</w:t>
            </w:r>
          </w:p>
        </w:tc>
        <w:tc>
          <w:tcPr>
            <w:tcW w:w="642" w:type="pct"/>
            <w:vAlign w:val="center"/>
          </w:tcPr>
          <w:p w14:paraId="10F6EA20" w14:textId="77777777" w:rsidR="00420DE7" w:rsidRPr="00EC1116" w:rsidRDefault="00420DE7" w:rsidP="006B0DCE">
            <w:pPr>
              <w:widowControl w:val="0"/>
              <w:spacing w:line="240" w:lineRule="auto"/>
              <w:jc w:val="center"/>
              <w:rPr>
                <w:color w:val="000000" w:themeColor="text1"/>
              </w:rPr>
            </w:pPr>
            <w:r w:rsidRPr="00EC1116">
              <w:rPr>
                <w:color w:val="000000" w:themeColor="text1"/>
              </w:rPr>
              <w:t>0 ± 0</w:t>
            </w:r>
          </w:p>
        </w:tc>
        <w:tc>
          <w:tcPr>
            <w:tcW w:w="525" w:type="pct"/>
            <w:vAlign w:val="center"/>
          </w:tcPr>
          <w:p w14:paraId="6B80896A" w14:textId="77777777" w:rsidR="00420DE7" w:rsidRPr="00EC1116" w:rsidRDefault="00420DE7" w:rsidP="006B0DCE">
            <w:pPr>
              <w:widowControl w:val="0"/>
              <w:spacing w:line="240" w:lineRule="auto"/>
              <w:jc w:val="center"/>
              <w:rPr>
                <w:b/>
                <w:color w:val="000000" w:themeColor="text1"/>
              </w:rPr>
            </w:pPr>
            <w:r w:rsidRPr="00EC1116">
              <w:rPr>
                <w:color w:val="000000" w:themeColor="text1"/>
              </w:rPr>
              <w:t>0 ± 0</w:t>
            </w:r>
          </w:p>
        </w:tc>
        <w:tc>
          <w:tcPr>
            <w:tcW w:w="652" w:type="pct"/>
            <w:vAlign w:val="center"/>
          </w:tcPr>
          <w:p w14:paraId="3D24A5C3" w14:textId="77777777" w:rsidR="00420DE7" w:rsidRPr="00EC1116" w:rsidRDefault="00420DE7" w:rsidP="006B0DCE">
            <w:pPr>
              <w:widowControl w:val="0"/>
              <w:spacing w:line="240" w:lineRule="auto"/>
              <w:jc w:val="center"/>
              <w:rPr>
                <w:color w:val="000000" w:themeColor="text1"/>
              </w:rPr>
            </w:pPr>
            <w:r w:rsidRPr="00EC1116">
              <w:rPr>
                <w:color w:val="000000" w:themeColor="text1"/>
              </w:rPr>
              <w:t>12 ± 12</w:t>
            </w:r>
          </w:p>
        </w:tc>
      </w:tr>
    </w:tbl>
    <w:p w14:paraId="6313B77C" w14:textId="77777777" w:rsidR="00420DE7" w:rsidRPr="00EC1116" w:rsidRDefault="00420DE7" w:rsidP="00420DE7">
      <w:pPr>
        <w:pStyle w:val="PlainText"/>
        <w:widowControl w:val="0"/>
        <w:adjustRightInd w:val="0"/>
        <w:snapToGrid w:val="0"/>
        <w:jc w:val="both"/>
        <w:rPr>
          <w:rFonts w:ascii="Times New Roman" w:hAnsi="Times New Roman"/>
          <w:color w:val="000000" w:themeColor="text1"/>
          <w:sz w:val="24"/>
          <w:szCs w:val="24"/>
          <w:lang w:val="en-CA"/>
        </w:rPr>
      </w:pPr>
      <w:r w:rsidRPr="00EC1116">
        <w:rPr>
          <w:rFonts w:ascii="Times New Roman" w:hAnsi="Times New Roman"/>
          <w:color w:val="000000" w:themeColor="text1"/>
          <w:sz w:val="24"/>
          <w:szCs w:val="24"/>
          <w:vertAlign w:val="superscript"/>
          <w:lang w:val="en-CA"/>
        </w:rPr>
        <w:t>a</w:t>
      </w:r>
      <w:r w:rsidRPr="00EC1116">
        <w:rPr>
          <w:rFonts w:ascii="Times New Roman" w:hAnsi="Times New Roman"/>
          <w:color w:val="000000" w:themeColor="text1"/>
          <w:sz w:val="24"/>
          <w:szCs w:val="24"/>
          <w:lang w:val="en-CA"/>
        </w:rPr>
        <w:t xml:space="preserve"> Meropenem was used unless indicated otherwise</w:t>
      </w:r>
    </w:p>
    <w:p w14:paraId="0672F6C7" w14:textId="77777777" w:rsidR="00420DE7" w:rsidRPr="00EC1116" w:rsidRDefault="00420DE7" w:rsidP="00420DE7">
      <w:pPr>
        <w:pStyle w:val="PlainText"/>
        <w:widowControl w:val="0"/>
        <w:adjustRightInd w:val="0"/>
        <w:snapToGrid w:val="0"/>
        <w:jc w:val="both"/>
        <w:rPr>
          <w:rFonts w:ascii="Times New Roman" w:hAnsi="Times New Roman"/>
          <w:color w:val="000000" w:themeColor="text1"/>
          <w:sz w:val="24"/>
          <w:szCs w:val="24"/>
          <w:lang w:val="en-CA"/>
        </w:rPr>
      </w:pPr>
      <w:r w:rsidRPr="00EC1116">
        <w:rPr>
          <w:rFonts w:ascii="Times New Roman" w:hAnsi="Times New Roman"/>
          <w:color w:val="000000" w:themeColor="text1"/>
          <w:sz w:val="24"/>
          <w:szCs w:val="24"/>
          <w:vertAlign w:val="superscript"/>
          <w:lang w:val="en-CA"/>
        </w:rPr>
        <w:t>b</w:t>
      </w:r>
      <w:r w:rsidRPr="00EC1116">
        <w:rPr>
          <w:rFonts w:ascii="Times New Roman" w:hAnsi="Times New Roman"/>
          <w:color w:val="000000" w:themeColor="text1"/>
          <w:sz w:val="24"/>
          <w:szCs w:val="24"/>
          <w:lang w:val="en-CA"/>
        </w:rPr>
        <w:t xml:space="preserve"> Gentamicin</w:t>
      </w:r>
    </w:p>
    <w:p w14:paraId="0371E4E6" w14:textId="77777777" w:rsidR="00420DE7" w:rsidRPr="00EC1116" w:rsidRDefault="00420DE7" w:rsidP="00420DE7">
      <w:pPr>
        <w:pStyle w:val="PlainText"/>
        <w:widowControl w:val="0"/>
        <w:adjustRightInd w:val="0"/>
        <w:snapToGrid w:val="0"/>
        <w:jc w:val="both"/>
        <w:rPr>
          <w:bCs/>
          <w:color w:val="000000" w:themeColor="text1"/>
          <w:lang w:val="en-CA"/>
        </w:rPr>
      </w:pPr>
      <w:r w:rsidRPr="00EC1116">
        <w:rPr>
          <w:rFonts w:ascii="Times New Roman" w:hAnsi="Times New Roman"/>
          <w:color w:val="000000" w:themeColor="text1"/>
          <w:sz w:val="24"/>
          <w:szCs w:val="24"/>
          <w:vertAlign w:val="superscript"/>
          <w:lang w:val="en-CA"/>
        </w:rPr>
        <w:t>c</w:t>
      </w:r>
      <w:r w:rsidRPr="00EC1116">
        <w:rPr>
          <w:rFonts w:ascii="Times New Roman" w:hAnsi="Times New Roman"/>
          <w:color w:val="000000" w:themeColor="text1"/>
          <w:sz w:val="24"/>
          <w:szCs w:val="24"/>
          <w:lang w:val="en-CA"/>
        </w:rPr>
        <w:t xml:space="preserve"> Vancomycin</w:t>
      </w:r>
      <w:r w:rsidRPr="00EC1116">
        <w:rPr>
          <w:bCs/>
          <w:color w:val="000000" w:themeColor="text1"/>
          <w:lang w:val="en-CA"/>
        </w:rPr>
        <w:t xml:space="preserve"> </w:t>
      </w:r>
    </w:p>
    <w:p w14:paraId="0828E783" w14:textId="43F469FB" w:rsidR="00420DE7" w:rsidRPr="00420DE7" w:rsidRDefault="00420DE7" w:rsidP="00420DE7">
      <w:pPr>
        <w:pStyle w:val="PlainText"/>
        <w:widowControl w:val="0"/>
        <w:adjustRightInd w:val="0"/>
        <w:snapToGrid w:val="0"/>
        <w:spacing w:after="240" w:line="360" w:lineRule="auto"/>
        <w:jc w:val="both"/>
        <w:rPr>
          <w:bCs/>
          <w:color w:val="000000" w:themeColor="text1"/>
          <w:lang w:val="en-CA"/>
        </w:rPr>
      </w:pPr>
      <w:r w:rsidRPr="00EC1116">
        <w:rPr>
          <w:rFonts w:ascii="Times New Roman" w:hAnsi="Times New Roman"/>
          <w:color w:val="000000" w:themeColor="text1"/>
          <w:sz w:val="24"/>
          <w:szCs w:val="24"/>
          <w:vertAlign w:val="superscript"/>
          <w:lang w:val="en-CA"/>
        </w:rPr>
        <w:t>d</w:t>
      </w:r>
      <w:r w:rsidRPr="00EC1116">
        <w:rPr>
          <w:rFonts w:ascii="Times New Roman" w:hAnsi="Times New Roman"/>
          <w:color w:val="000000" w:themeColor="text1"/>
          <w:sz w:val="24"/>
          <w:szCs w:val="24"/>
          <w:lang w:val="en-CA"/>
        </w:rPr>
        <w:t xml:space="preserve"> Significant difference to the antibiotic (p &lt; 0.05; One-Way ANOVA, Kruskal-Wallis test). </w:t>
      </w:r>
    </w:p>
    <w:sectPr w:rsidR="00420DE7" w:rsidRPr="0042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E7"/>
    <w:rsid w:val="0042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9381"/>
  <w15:chartTrackingRefBased/>
  <w15:docId w15:val="{24ED5640-D870-4E23-8038-F9F1B5E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E7"/>
    <w:pPr>
      <w:spacing w:after="0" w:line="360" w:lineRule="auto"/>
      <w:jc w:val="both"/>
    </w:pPr>
    <w:rPr>
      <w:rFonts w:ascii="Times New Roman" w:eastAsia="Times New Roman" w:hAnsi="Times New Roman"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0DE7"/>
    <w:pPr>
      <w:spacing w:line="240" w:lineRule="auto"/>
      <w:jc w:val="left"/>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420DE7"/>
    <w:rPr>
      <w:rFonts w:ascii="Consolas" w:hAnsi="Consolas" w:cs="Consolas"/>
      <w:sz w:val="21"/>
      <w:szCs w:val="21"/>
    </w:rPr>
  </w:style>
  <w:style w:type="table" w:styleId="TableGrid">
    <w:name w:val="Table Grid"/>
    <w:basedOn w:val="TableNormal"/>
    <w:uiPriority w:val="59"/>
    <w:rsid w:val="00420D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Pletzer</dc:creator>
  <cp:keywords/>
  <dc:description/>
  <cp:lastModifiedBy>Daniel Pletzer</cp:lastModifiedBy>
  <cp:revision>1</cp:revision>
  <dcterms:created xsi:type="dcterms:W3CDTF">2018-05-10T22:31:00Z</dcterms:created>
  <dcterms:modified xsi:type="dcterms:W3CDTF">2018-05-10T22:32:00Z</dcterms:modified>
</cp:coreProperties>
</file>