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A7" w:rsidRPr="005B51EA" w:rsidRDefault="00C31FA7" w:rsidP="00C31FA7">
      <w:pPr>
        <w:spacing w:after="0" w:line="240" w:lineRule="auto"/>
        <w:rPr>
          <w:rFonts w:ascii="Times New Roman" w:hAnsi="Times New Roman"/>
          <w:sz w:val="20"/>
          <w:vertAlign w:val="superscript"/>
          <w:lang w:val="en-US"/>
        </w:rPr>
      </w:pPr>
      <w:bookmarkStart w:id="0" w:name="_GoBack"/>
      <w:bookmarkEnd w:id="0"/>
      <w:r>
        <w:rPr>
          <w:rFonts w:ascii="Times New Roman" w:hAnsi="Times New Roman" w:cs="Times New Roman"/>
          <w:b/>
          <w:sz w:val="20"/>
          <w:szCs w:val="20"/>
          <w:lang w:val="en-US"/>
        </w:rPr>
        <w:t>S1 Table</w:t>
      </w:r>
      <w:r w:rsidRPr="007851B5">
        <w:rPr>
          <w:rFonts w:ascii="Times New Roman" w:hAnsi="Times New Roman" w:cs="Times New Roman"/>
          <w:sz w:val="20"/>
          <w:szCs w:val="20"/>
          <w:lang w:val="en-US"/>
        </w:rPr>
        <w:t xml:space="preserve">. Transcriptional response of </w:t>
      </w:r>
      <w:proofErr w:type="spellStart"/>
      <w:r w:rsidRPr="007851B5">
        <w:rPr>
          <w:rFonts w:ascii="Times New Roman" w:hAnsi="Times New Roman" w:cs="Times New Roman"/>
          <w:i/>
          <w:sz w:val="20"/>
          <w:szCs w:val="20"/>
          <w:lang w:val="en-US"/>
        </w:rPr>
        <w:t>blp</w:t>
      </w:r>
      <w:proofErr w:type="spellEnd"/>
      <w:r w:rsidRPr="007851B5">
        <w:rPr>
          <w:rFonts w:ascii="Times New Roman" w:hAnsi="Times New Roman" w:cs="Times New Roman"/>
          <w:sz w:val="20"/>
          <w:szCs w:val="20"/>
          <w:lang w:val="en-US"/>
        </w:rPr>
        <w:t xml:space="preserve"> genes </w:t>
      </w:r>
      <w:r>
        <w:rPr>
          <w:rFonts w:ascii="Times New Roman" w:hAnsi="Times New Roman" w:cs="Times New Roman"/>
          <w:sz w:val="20"/>
          <w:szCs w:val="20"/>
          <w:lang w:val="en-US"/>
        </w:rPr>
        <w:t xml:space="preserve">of </w:t>
      </w:r>
      <w:r w:rsidRPr="007851B5">
        <w:rPr>
          <w:rFonts w:ascii="Times New Roman" w:hAnsi="Times New Roman" w:cs="Times New Roman"/>
          <w:i/>
          <w:sz w:val="20"/>
          <w:szCs w:val="20"/>
          <w:lang w:val="en-US"/>
        </w:rPr>
        <w:t>S. pneumoniae</w:t>
      </w:r>
      <w:r w:rsidRPr="007851B5">
        <w:rPr>
          <w:rFonts w:ascii="Times New Roman" w:hAnsi="Times New Roman" w:cs="Times New Roman"/>
          <w:sz w:val="20"/>
          <w:szCs w:val="20"/>
          <w:lang w:val="en-US"/>
        </w:rPr>
        <w:t xml:space="preserve"> D39 after exposure to sub-lethal level of antibiotics as determined </w:t>
      </w:r>
      <w:r>
        <w:rPr>
          <w:rFonts w:ascii="Times New Roman" w:hAnsi="Times New Roman" w:cs="Times New Roman"/>
          <w:sz w:val="20"/>
          <w:szCs w:val="20"/>
          <w:lang w:val="en-US"/>
        </w:rPr>
        <w:t>by</w:t>
      </w:r>
      <w:r w:rsidRPr="007851B5">
        <w:rPr>
          <w:rFonts w:ascii="Times New Roman" w:hAnsi="Times New Roman" w:cs="Times New Roman"/>
          <w:sz w:val="20"/>
          <w:szCs w:val="20"/>
          <w:lang w:val="en-US"/>
        </w:rPr>
        <w:t xml:space="preserve"> RNA sequencing</w:t>
      </w:r>
      <w:r w:rsidRPr="007851B5">
        <w:rPr>
          <w:rFonts w:ascii="Times New Roman" w:hAnsi="Times New Roman" w:cs="Times New Roman"/>
          <w:sz w:val="20"/>
          <w:szCs w:val="20"/>
          <w:vertAlign w:val="superscript"/>
          <w:lang w:val="en-US"/>
        </w:rPr>
        <w:t>*</w:t>
      </w:r>
    </w:p>
    <w:tbl>
      <w:tblPr>
        <w:tblW w:w="7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844"/>
        <w:gridCol w:w="731"/>
        <w:gridCol w:w="984"/>
        <w:gridCol w:w="1136"/>
        <w:gridCol w:w="1136"/>
        <w:gridCol w:w="1136"/>
        <w:gridCol w:w="1136"/>
      </w:tblGrid>
      <w:tr w:rsidR="00C31FA7" w:rsidRPr="007E4BF4" w:rsidTr="00391697">
        <w:trPr>
          <w:trHeight w:val="42"/>
        </w:trPr>
        <w:tc>
          <w:tcPr>
            <w:tcW w:w="844" w:type="dxa"/>
            <w:tcBorders>
              <w:top w:val="single" w:sz="4" w:space="0" w:color="auto"/>
              <w:left w:val="single" w:sz="4" w:space="0" w:color="auto"/>
              <w:bottom w:val="single" w:sz="4" w:space="0" w:color="auto"/>
              <w:right w:val="nil"/>
            </w:tcBorders>
            <w:shd w:val="clear" w:color="auto" w:fill="auto"/>
            <w:tcMar>
              <w:top w:w="6" w:type="dxa"/>
              <w:left w:w="6" w:type="dxa"/>
              <w:bottom w:w="0" w:type="dxa"/>
              <w:right w:w="6" w:type="dxa"/>
            </w:tcMar>
            <w:vAlign w:val="center"/>
          </w:tcPr>
          <w:p w:rsidR="00C31FA7" w:rsidRPr="00FE22E8" w:rsidRDefault="00C31FA7" w:rsidP="00391697">
            <w:pPr>
              <w:spacing w:after="0" w:line="240" w:lineRule="auto"/>
              <w:jc w:val="center"/>
              <w:textAlignment w:val="bottom"/>
              <w:rPr>
                <w:rFonts w:ascii="Times New Roman" w:eastAsia="Times New Roman" w:hAnsi="Times New Roman" w:cs="Times New Roman"/>
                <w:bCs/>
                <w:color w:val="000000" w:themeColor="dark1"/>
                <w:kern w:val="24"/>
                <w:sz w:val="18"/>
                <w:szCs w:val="16"/>
                <w:lang w:val="en-US" w:eastAsia="nl-NL"/>
              </w:rPr>
            </w:pPr>
            <w:r w:rsidRPr="00C6011F">
              <w:rPr>
                <w:rFonts w:ascii="Times New Roman" w:eastAsia="Times New Roman" w:hAnsi="Times New Roman" w:cs="Times New Roman"/>
                <w:bCs/>
                <w:color w:val="000000" w:themeColor="dark1"/>
                <w:kern w:val="24"/>
                <w:sz w:val="18"/>
                <w:szCs w:val="16"/>
                <w:lang w:val="en-US" w:eastAsia="nl-NL"/>
              </w:rPr>
              <w:t>Gene</w:t>
            </w:r>
          </w:p>
        </w:tc>
        <w:tc>
          <w:tcPr>
            <w:tcW w:w="731" w:type="dxa"/>
            <w:tcBorders>
              <w:top w:val="single" w:sz="4" w:space="0" w:color="auto"/>
              <w:left w:val="nil"/>
              <w:bottom w:val="nil"/>
              <w:right w:val="nil"/>
            </w:tcBorders>
            <w:shd w:val="clear" w:color="auto" w:fill="auto"/>
            <w:vAlign w:val="center"/>
          </w:tcPr>
          <w:p w:rsidR="00C31FA7"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val="en-US" w:eastAsia="nl-NL"/>
              </w:rPr>
            </w:pPr>
            <w:r w:rsidRPr="00C6011F">
              <w:rPr>
                <w:rFonts w:ascii="Times New Roman" w:eastAsia="Times New Roman" w:hAnsi="Times New Roman" w:cs="Times New Roman"/>
                <w:bCs/>
                <w:color w:val="000000" w:themeColor="dark1"/>
                <w:kern w:val="24"/>
                <w:sz w:val="18"/>
                <w:szCs w:val="16"/>
                <w:lang w:val="en-US" w:eastAsia="nl-NL"/>
              </w:rPr>
              <w:t>Name</w:t>
            </w:r>
            <w:r w:rsidRPr="00734206">
              <w:rPr>
                <w:rFonts w:ascii="Times New Roman" w:hAnsi="Times New Roman" w:cs="Times New Roman"/>
                <w:vertAlign w:val="superscript"/>
              </w:rPr>
              <w:t>†</w:t>
            </w:r>
          </w:p>
        </w:tc>
        <w:tc>
          <w:tcPr>
            <w:tcW w:w="984" w:type="dxa"/>
            <w:tcBorders>
              <w:top w:val="single" w:sz="4" w:space="0" w:color="auto"/>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roofErr w:type="spellStart"/>
            <w:r w:rsidRPr="007E4BF4">
              <w:rPr>
                <w:rFonts w:ascii="Times New Roman" w:eastAsia="Times New Roman" w:hAnsi="Times New Roman" w:cs="Times New Roman"/>
                <w:bCs/>
                <w:color w:val="000000" w:themeColor="dark1"/>
                <w:kern w:val="24"/>
                <w:sz w:val="18"/>
                <w:szCs w:val="16"/>
                <w:lang w:val="en-US" w:eastAsia="nl-NL"/>
              </w:rPr>
              <w:t>HPUra</w:t>
            </w:r>
            <w:proofErr w:type="spellEnd"/>
          </w:p>
        </w:tc>
        <w:tc>
          <w:tcPr>
            <w:tcW w:w="1136" w:type="dxa"/>
            <w:tcBorders>
              <w:top w:val="single" w:sz="4" w:space="0" w:color="auto"/>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7E4BF4">
              <w:rPr>
                <w:rFonts w:ascii="Times New Roman" w:eastAsia="Times New Roman" w:hAnsi="Times New Roman" w:cs="Times New Roman"/>
                <w:bCs/>
                <w:color w:val="000000" w:themeColor="dark1"/>
                <w:kern w:val="24"/>
                <w:sz w:val="18"/>
                <w:szCs w:val="16"/>
                <w:lang w:val="en-US" w:eastAsia="nl-NL"/>
              </w:rPr>
              <w:t>Kanamycin</w:t>
            </w:r>
          </w:p>
        </w:tc>
        <w:tc>
          <w:tcPr>
            <w:tcW w:w="1136" w:type="dxa"/>
            <w:tcBorders>
              <w:top w:val="single" w:sz="4" w:space="0" w:color="auto"/>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7E4BF4">
              <w:rPr>
                <w:rFonts w:ascii="Times New Roman" w:eastAsia="Times New Roman" w:hAnsi="Times New Roman" w:cs="Times New Roman"/>
                <w:bCs/>
                <w:color w:val="000000" w:themeColor="dark1"/>
                <w:kern w:val="24"/>
                <w:sz w:val="18"/>
                <w:szCs w:val="16"/>
                <w:lang w:val="en-US" w:eastAsia="nl-NL"/>
              </w:rPr>
              <w:t>Ciprofloxacin</w:t>
            </w:r>
          </w:p>
        </w:tc>
        <w:tc>
          <w:tcPr>
            <w:tcW w:w="1136" w:type="dxa"/>
            <w:tcBorders>
              <w:top w:val="single" w:sz="4" w:space="0" w:color="auto"/>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7E4BF4">
              <w:rPr>
                <w:rFonts w:ascii="Times New Roman" w:eastAsia="Times New Roman" w:hAnsi="Times New Roman" w:cs="Times New Roman"/>
                <w:bCs/>
                <w:color w:val="000000" w:themeColor="dark1"/>
                <w:kern w:val="24"/>
                <w:sz w:val="18"/>
                <w:szCs w:val="16"/>
                <w:lang w:val="en-US" w:eastAsia="nl-NL"/>
              </w:rPr>
              <w:t>Hydroxyurea</w:t>
            </w:r>
          </w:p>
        </w:tc>
        <w:tc>
          <w:tcPr>
            <w:tcW w:w="1136" w:type="dxa"/>
            <w:tcBorders>
              <w:top w:val="single" w:sz="4" w:space="0" w:color="auto"/>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7E4BF4">
              <w:rPr>
                <w:rFonts w:ascii="Times New Roman" w:eastAsia="Times New Roman" w:hAnsi="Times New Roman" w:cs="Times New Roman"/>
                <w:bCs/>
                <w:color w:val="000000" w:themeColor="dark1"/>
                <w:kern w:val="24"/>
                <w:sz w:val="18"/>
                <w:szCs w:val="16"/>
                <w:lang w:val="en-US" w:eastAsia="nl-NL"/>
              </w:rPr>
              <w:t>Rifampicin</w:t>
            </w:r>
          </w:p>
        </w:tc>
      </w:tr>
      <w:tr w:rsidR="00C31FA7" w:rsidRPr="007E4BF4" w:rsidTr="00391697">
        <w:trPr>
          <w:trHeight w:val="42"/>
        </w:trPr>
        <w:tc>
          <w:tcPr>
            <w:tcW w:w="844" w:type="dxa"/>
            <w:tcBorders>
              <w:top w:val="single" w:sz="4" w:space="0" w:color="auto"/>
              <w:left w:val="single" w:sz="4" w:space="0" w:color="auto"/>
              <w:bottom w:val="nil"/>
              <w:right w:val="nil"/>
            </w:tcBorders>
            <w:shd w:val="clear" w:color="auto" w:fill="auto"/>
            <w:tcMar>
              <w:top w:w="6" w:type="dxa"/>
              <w:left w:w="6" w:type="dxa"/>
              <w:bottom w:w="0" w:type="dxa"/>
              <w:right w:w="6" w:type="dxa"/>
            </w:tcMar>
            <w:vAlign w:val="center"/>
          </w:tcPr>
          <w:p w:rsidR="00C31FA7" w:rsidRPr="007E4BF4"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val="en-US" w:eastAsia="nl-NL"/>
              </w:rPr>
            </w:pPr>
            <w:proofErr w:type="spellStart"/>
            <w:r w:rsidRPr="007E4BF4">
              <w:rPr>
                <w:rFonts w:ascii="Times New Roman" w:eastAsia="Times New Roman" w:hAnsi="Times New Roman" w:cs="Times New Roman"/>
                <w:color w:val="000000" w:themeColor="dark1"/>
                <w:kern w:val="24"/>
                <w:sz w:val="18"/>
                <w:szCs w:val="16"/>
                <w:lang w:val="en-US" w:eastAsia="nl-NL"/>
              </w:rPr>
              <w:t>Blp</w:t>
            </w:r>
            <w:proofErr w:type="spellEnd"/>
            <w:r w:rsidRPr="007E4BF4">
              <w:rPr>
                <w:rFonts w:ascii="Times New Roman" w:eastAsia="Times New Roman" w:hAnsi="Times New Roman" w:cs="Times New Roman"/>
                <w:color w:val="000000" w:themeColor="dark1"/>
                <w:kern w:val="24"/>
                <w:sz w:val="18"/>
                <w:szCs w:val="16"/>
                <w:lang w:val="en-US" w:eastAsia="nl-NL"/>
              </w:rPr>
              <w:t xml:space="preserve"> genes</w:t>
            </w:r>
          </w:p>
        </w:tc>
        <w:tc>
          <w:tcPr>
            <w:tcW w:w="731" w:type="dxa"/>
            <w:tcBorders>
              <w:top w:val="single" w:sz="4" w:space="0" w:color="auto"/>
              <w:left w:val="nil"/>
              <w:bottom w:val="nil"/>
              <w:right w:val="nil"/>
            </w:tcBorders>
            <w:shd w:val="clear" w:color="auto" w:fill="auto"/>
            <w:vAlign w:val="center"/>
          </w:tcPr>
          <w:p w:rsidR="00C31FA7"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val="en-US" w:eastAsia="nl-NL"/>
              </w:rPr>
            </w:pPr>
          </w:p>
        </w:tc>
        <w:tc>
          <w:tcPr>
            <w:tcW w:w="984" w:type="dxa"/>
            <w:tcBorders>
              <w:top w:val="single" w:sz="4" w:space="0" w:color="auto"/>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single" w:sz="4" w:space="0" w:color="auto"/>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single" w:sz="4" w:space="0" w:color="auto"/>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single" w:sz="4" w:space="0" w:color="auto"/>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single" w:sz="4" w:space="0" w:color="auto"/>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r>
      <w:tr w:rsidR="00C31FA7" w:rsidRPr="007E4BF4"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7E4BF4" w:rsidRDefault="00C31FA7" w:rsidP="00391697">
            <w:pPr>
              <w:spacing w:after="0" w:line="240" w:lineRule="auto"/>
              <w:jc w:val="center"/>
              <w:textAlignment w:val="bottom"/>
              <w:rPr>
                <w:rFonts w:ascii="Times New Roman" w:eastAsia="Times New Roman" w:hAnsi="Times New Roman" w:cs="Times New Roman"/>
                <w:sz w:val="18"/>
                <w:szCs w:val="16"/>
                <w:lang w:val="en-US" w:eastAsia="nl-NL"/>
              </w:rPr>
            </w:pPr>
            <w:r w:rsidRPr="007E4BF4">
              <w:rPr>
                <w:rFonts w:ascii="Times New Roman" w:eastAsia="Times New Roman" w:hAnsi="Times New Roman" w:cs="Times New Roman"/>
                <w:color w:val="000000" w:themeColor="dark1"/>
                <w:kern w:val="24"/>
                <w:sz w:val="18"/>
                <w:szCs w:val="16"/>
                <w:lang w:val="en-US" w:eastAsia="nl-NL"/>
              </w:rPr>
              <w:t>SPD_0046</w:t>
            </w:r>
          </w:p>
        </w:tc>
        <w:tc>
          <w:tcPr>
            <w:tcW w:w="731" w:type="dxa"/>
            <w:tcBorders>
              <w:top w:val="nil"/>
              <w:left w:val="nil"/>
              <w:bottom w:val="nil"/>
              <w:right w:val="nil"/>
            </w:tcBorders>
            <w:shd w:val="clear" w:color="auto" w:fill="auto"/>
            <w:vAlign w:val="center"/>
          </w:tcPr>
          <w:p w:rsidR="00C31FA7" w:rsidRPr="007E4BF4" w:rsidRDefault="00C31FA7" w:rsidP="00391697">
            <w:pPr>
              <w:spacing w:after="0" w:line="240" w:lineRule="auto"/>
              <w:jc w:val="center"/>
              <w:textAlignment w:val="bottom"/>
              <w:rPr>
                <w:rFonts w:ascii="Times New Roman" w:eastAsia="Times New Roman" w:hAnsi="Times New Roman" w:cs="Times New Roman"/>
                <w:i/>
                <w:sz w:val="18"/>
                <w:szCs w:val="16"/>
                <w:lang w:val="en-US" w:eastAsia="nl-NL"/>
              </w:rPr>
            </w:pPr>
            <w:proofErr w:type="spellStart"/>
            <w:r>
              <w:rPr>
                <w:rFonts w:ascii="Times New Roman" w:eastAsia="Times New Roman" w:hAnsi="Times New Roman" w:cs="Times New Roman"/>
                <w:i/>
                <w:color w:val="000000" w:themeColor="dark1"/>
                <w:kern w:val="24"/>
                <w:sz w:val="18"/>
                <w:szCs w:val="16"/>
                <w:lang w:val="en-US" w:eastAsia="nl-NL"/>
              </w:rPr>
              <w:t>blpK</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center"/>
            <w:hideMark/>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7,9</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7E4BF4" w:rsidRDefault="00C31FA7" w:rsidP="00391697">
            <w:pPr>
              <w:spacing w:after="0" w:line="240" w:lineRule="auto"/>
              <w:jc w:val="center"/>
              <w:textAlignment w:val="bottom"/>
              <w:rPr>
                <w:rFonts w:ascii="Times New Roman" w:eastAsia="Times New Roman" w:hAnsi="Times New Roman" w:cs="Times New Roman"/>
                <w:sz w:val="18"/>
                <w:szCs w:val="16"/>
                <w:lang w:val="en-US" w:eastAsia="nl-NL"/>
              </w:rPr>
            </w:pPr>
            <w:r w:rsidRPr="007E4BF4">
              <w:rPr>
                <w:rFonts w:ascii="Times New Roman" w:eastAsia="Times New Roman" w:hAnsi="Times New Roman" w:cs="Times New Roman"/>
                <w:color w:val="000000" w:themeColor="dark1"/>
                <w:kern w:val="24"/>
                <w:sz w:val="18"/>
                <w:szCs w:val="16"/>
                <w:lang w:val="en-US" w:eastAsia="nl-NL"/>
              </w:rPr>
              <w:t>SPD_0047</w:t>
            </w:r>
          </w:p>
        </w:tc>
        <w:tc>
          <w:tcPr>
            <w:tcW w:w="731" w:type="dxa"/>
            <w:tcBorders>
              <w:top w:val="nil"/>
              <w:left w:val="nil"/>
              <w:bottom w:val="nil"/>
              <w:right w:val="nil"/>
            </w:tcBorders>
            <w:shd w:val="clear" w:color="auto" w:fill="auto"/>
            <w:vAlign w:val="center"/>
          </w:tcPr>
          <w:p w:rsidR="00C31FA7" w:rsidRPr="007E4BF4" w:rsidRDefault="00C31FA7" w:rsidP="00391697">
            <w:pPr>
              <w:spacing w:after="0" w:line="240" w:lineRule="auto"/>
              <w:jc w:val="center"/>
              <w:textAlignment w:val="bottom"/>
              <w:rPr>
                <w:rFonts w:ascii="Times New Roman" w:eastAsia="Times New Roman" w:hAnsi="Times New Roman" w:cs="Times New Roman"/>
                <w:sz w:val="18"/>
                <w:szCs w:val="16"/>
                <w:lang w:val="en-US" w:eastAsia="nl-NL"/>
              </w:rPr>
            </w:pPr>
            <w:r w:rsidRPr="007E4BF4">
              <w:rPr>
                <w:rFonts w:ascii="Times New Roman" w:eastAsia="Times New Roman" w:hAnsi="Times New Roman" w:cs="Times New Roman"/>
                <w:color w:val="000000" w:themeColor="dark1"/>
                <w:kern w:val="24"/>
                <w:sz w:val="18"/>
                <w:szCs w:val="16"/>
                <w:lang w:val="en-US" w:eastAsia="nl-NL"/>
              </w:rPr>
              <w:t>-</w:t>
            </w:r>
          </w:p>
        </w:tc>
        <w:tc>
          <w:tcPr>
            <w:tcW w:w="984" w:type="dxa"/>
            <w:tcBorders>
              <w:top w:val="nil"/>
              <w:left w:val="nil"/>
              <w:bottom w:val="nil"/>
              <w:right w:val="nil"/>
            </w:tcBorders>
            <w:shd w:val="clear" w:color="auto" w:fill="auto"/>
            <w:tcMar>
              <w:top w:w="6" w:type="dxa"/>
              <w:left w:w="6" w:type="dxa"/>
              <w:bottom w:w="0" w:type="dxa"/>
              <w:right w:w="6" w:type="dxa"/>
            </w:tcMar>
            <w:vAlign w:val="center"/>
            <w:hideMark/>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4,4</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16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C6011F" w:rsidRDefault="00C31FA7" w:rsidP="00391697">
            <w:pPr>
              <w:spacing w:after="0" w:line="240" w:lineRule="auto"/>
              <w:jc w:val="center"/>
              <w:rPr>
                <w:rFonts w:ascii="Times New Roman" w:hAnsi="Times New Roman" w:cs="Times New Roman"/>
                <w:color w:val="000000"/>
                <w:sz w:val="18"/>
                <w:szCs w:val="16"/>
              </w:rPr>
            </w:pPr>
            <w:r w:rsidRPr="00C6011F">
              <w:rPr>
                <w:rFonts w:ascii="Times New Roman" w:hAnsi="Times New Roman" w:cs="Times New Roman"/>
                <w:color w:val="000000"/>
                <w:sz w:val="18"/>
                <w:szCs w:val="16"/>
              </w:rPr>
              <w:t>SPD_0466</w:t>
            </w:r>
          </w:p>
        </w:tc>
        <w:tc>
          <w:tcPr>
            <w:tcW w:w="731" w:type="dxa"/>
            <w:tcBorders>
              <w:top w:val="nil"/>
              <w:left w:val="nil"/>
              <w:bottom w:val="nil"/>
              <w:right w:val="nil"/>
            </w:tcBorders>
            <w:shd w:val="clear" w:color="auto" w:fill="auto"/>
            <w:vAlign w:val="center"/>
          </w:tcPr>
          <w:p w:rsidR="00C31FA7" w:rsidRPr="00C6011F" w:rsidRDefault="00C31FA7" w:rsidP="00391697">
            <w:pPr>
              <w:spacing w:after="0" w:line="240" w:lineRule="auto"/>
              <w:jc w:val="center"/>
              <w:rPr>
                <w:rFonts w:ascii="Times New Roman" w:hAnsi="Times New Roman" w:cs="Times New Roman"/>
                <w:i/>
                <w:color w:val="000000"/>
                <w:sz w:val="18"/>
                <w:szCs w:val="16"/>
              </w:rPr>
            </w:pPr>
            <w:proofErr w:type="spellStart"/>
            <w:r w:rsidRPr="00C6011F">
              <w:rPr>
                <w:rFonts w:ascii="Times New Roman" w:hAnsi="Times New Roman" w:cs="Times New Roman"/>
                <w:i/>
                <w:color w:val="000000"/>
                <w:sz w:val="18"/>
                <w:szCs w:val="16"/>
              </w:rPr>
              <w:t>blpT</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16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C6011F">
              <w:rPr>
                <w:rFonts w:ascii="Times New Roman" w:eastAsia="Times New Roman" w:hAnsi="Times New Roman" w:cs="Times New Roman"/>
                <w:color w:val="000000" w:themeColor="dark1"/>
                <w:kern w:val="24"/>
                <w:sz w:val="18"/>
                <w:szCs w:val="16"/>
                <w:lang w:eastAsia="nl-NL"/>
              </w:rPr>
              <w:t>SPD_0467</w:t>
            </w:r>
          </w:p>
        </w:tc>
        <w:tc>
          <w:tcPr>
            <w:tcW w:w="731" w:type="dxa"/>
            <w:tcBorders>
              <w:top w:val="nil"/>
              <w:left w:val="nil"/>
              <w:bottom w:val="nil"/>
              <w:right w:val="nil"/>
            </w:tcBorders>
            <w:shd w:val="clear" w:color="auto" w:fill="auto"/>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i/>
                <w:sz w:val="18"/>
                <w:szCs w:val="16"/>
                <w:lang w:eastAsia="nl-NL"/>
              </w:rPr>
            </w:pPr>
            <w:proofErr w:type="spellStart"/>
            <w:r w:rsidRPr="00C6011F">
              <w:rPr>
                <w:rFonts w:ascii="Times New Roman" w:eastAsia="Times New Roman" w:hAnsi="Times New Roman" w:cs="Times New Roman"/>
                <w:i/>
                <w:color w:val="000000" w:themeColor="dark1"/>
                <w:kern w:val="24"/>
                <w:sz w:val="18"/>
                <w:szCs w:val="16"/>
                <w:lang w:eastAsia="nl-NL"/>
              </w:rPr>
              <w:t>blpS</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C6011F">
              <w:rPr>
                <w:rFonts w:ascii="Times New Roman" w:eastAsia="Times New Roman" w:hAnsi="Times New Roman" w:cs="Times New Roman"/>
                <w:color w:val="000000" w:themeColor="dark1"/>
                <w:kern w:val="24"/>
                <w:sz w:val="18"/>
                <w:szCs w:val="16"/>
                <w:lang w:eastAsia="nl-NL"/>
              </w:rPr>
              <w:t>SPD_0468</w:t>
            </w:r>
          </w:p>
        </w:tc>
        <w:tc>
          <w:tcPr>
            <w:tcW w:w="731" w:type="dxa"/>
            <w:tcBorders>
              <w:top w:val="nil"/>
              <w:left w:val="nil"/>
              <w:bottom w:val="nil"/>
              <w:right w:val="nil"/>
            </w:tcBorders>
            <w:shd w:val="clear" w:color="auto" w:fill="auto"/>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i/>
                <w:sz w:val="18"/>
                <w:szCs w:val="16"/>
                <w:lang w:eastAsia="nl-NL"/>
              </w:rPr>
            </w:pPr>
            <w:proofErr w:type="spellStart"/>
            <w:r w:rsidRPr="00C6011F">
              <w:rPr>
                <w:rFonts w:ascii="Times New Roman" w:eastAsia="Times New Roman" w:hAnsi="Times New Roman" w:cs="Times New Roman"/>
                <w:i/>
                <w:color w:val="000000" w:themeColor="dark1"/>
                <w:kern w:val="24"/>
                <w:sz w:val="18"/>
                <w:szCs w:val="16"/>
                <w:lang w:eastAsia="nl-NL"/>
              </w:rPr>
              <w:t>blpR</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C6011F">
              <w:rPr>
                <w:rFonts w:ascii="Times New Roman" w:eastAsia="Times New Roman" w:hAnsi="Times New Roman" w:cs="Times New Roman"/>
                <w:color w:val="000000" w:themeColor="dark1"/>
                <w:kern w:val="24"/>
                <w:sz w:val="18"/>
                <w:szCs w:val="16"/>
                <w:lang w:eastAsia="nl-NL"/>
              </w:rPr>
              <w:t>SPD_0469</w:t>
            </w:r>
          </w:p>
        </w:tc>
        <w:tc>
          <w:tcPr>
            <w:tcW w:w="731" w:type="dxa"/>
            <w:tcBorders>
              <w:top w:val="nil"/>
              <w:left w:val="nil"/>
              <w:bottom w:val="nil"/>
              <w:right w:val="nil"/>
            </w:tcBorders>
            <w:shd w:val="clear" w:color="auto" w:fill="auto"/>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i/>
                <w:sz w:val="18"/>
                <w:szCs w:val="16"/>
                <w:lang w:eastAsia="nl-NL"/>
              </w:rPr>
            </w:pPr>
            <w:proofErr w:type="spellStart"/>
            <w:r w:rsidRPr="00C6011F">
              <w:rPr>
                <w:rFonts w:ascii="Times New Roman" w:eastAsia="Times New Roman" w:hAnsi="Times New Roman" w:cs="Times New Roman"/>
                <w:i/>
                <w:color w:val="000000" w:themeColor="dark1"/>
                <w:kern w:val="24"/>
                <w:sz w:val="18"/>
                <w:szCs w:val="16"/>
                <w:lang w:eastAsia="nl-NL"/>
              </w:rPr>
              <w:t>blpH</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54"/>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C6011F">
              <w:rPr>
                <w:rFonts w:ascii="Times New Roman" w:eastAsia="Times New Roman" w:hAnsi="Times New Roman" w:cs="Times New Roman"/>
                <w:color w:val="000000" w:themeColor="dark1"/>
                <w:kern w:val="24"/>
                <w:sz w:val="18"/>
                <w:szCs w:val="16"/>
                <w:lang w:eastAsia="nl-NL"/>
              </w:rPr>
              <w:t>SPD_0470</w:t>
            </w:r>
          </w:p>
        </w:tc>
        <w:tc>
          <w:tcPr>
            <w:tcW w:w="731" w:type="dxa"/>
            <w:tcBorders>
              <w:top w:val="nil"/>
              <w:left w:val="nil"/>
              <w:bottom w:val="nil"/>
              <w:right w:val="nil"/>
            </w:tcBorders>
            <w:shd w:val="clear" w:color="auto" w:fill="auto"/>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i/>
                <w:sz w:val="18"/>
                <w:szCs w:val="16"/>
                <w:lang w:eastAsia="nl-NL"/>
              </w:rPr>
            </w:pPr>
            <w:proofErr w:type="spellStart"/>
            <w:r w:rsidRPr="00C6011F">
              <w:rPr>
                <w:rFonts w:ascii="Times New Roman" w:eastAsia="Times New Roman" w:hAnsi="Times New Roman" w:cs="Times New Roman"/>
                <w:i/>
                <w:color w:val="000000" w:themeColor="dark1"/>
                <w:kern w:val="24"/>
                <w:sz w:val="18"/>
                <w:szCs w:val="16"/>
                <w:lang w:eastAsia="nl-NL"/>
              </w:rPr>
              <w:t>blpC</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54"/>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p>
        </w:tc>
        <w:tc>
          <w:tcPr>
            <w:tcW w:w="731" w:type="dxa"/>
            <w:tcBorders>
              <w:top w:val="nil"/>
              <w:left w:val="nil"/>
              <w:bottom w:val="nil"/>
              <w:right w:val="nil"/>
            </w:tcBorders>
            <w:shd w:val="clear" w:color="auto" w:fill="auto"/>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r w:rsidRPr="003368DE">
              <w:rPr>
                <w:rFonts w:ascii="Times New Roman" w:eastAsia="Times New Roman" w:hAnsi="Times New Roman" w:cs="Times New Roman"/>
                <w:i/>
                <w:color w:val="000000" w:themeColor="dark1"/>
                <w:kern w:val="24"/>
                <w:sz w:val="18"/>
                <w:szCs w:val="16"/>
                <w:lang w:eastAsia="nl-NL"/>
              </w:rPr>
              <w:t>'</w:t>
            </w:r>
            <w:proofErr w:type="spellStart"/>
            <w:r w:rsidRPr="003368DE">
              <w:rPr>
                <w:rFonts w:ascii="Times New Roman" w:eastAsia="Times New Roman" w:hAnsi="Times New Roman" w:cs="Times New Roman"/>
                <w:i/>
                <w:color w:val="000000" w:themeColor="dark1"/>
                <w:kern w:val="24"/>
                <w:sz w:val="18"/>
                <w:szCs w:val="16"/>
                <w:lang w:eastAsia="nl-NL"/>
              </w:rPr>
              <w:t>blpB</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r>
      <w:tr w:rsidR="00C31FA7" w:rsidRPr="002364C0" w:rsidTr="00391697">
        <w:trPr>
          <w:trHeight w:val="54"/>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p>
        </w:tc>
        <w:tc>
          <w:tcPr>
            <w:tcW w:w="731" w:type="dxa"/>
            <w:tcBorders>
              <w:top w:val="nil"/>
              <w:left w:val="nil"/>
              <w:bottom w:val="nil"/>
              <w:right w:val="nil"/>
            </w:tcBorders>
            <w:shd w:val="clear" w:color="auto" w:fill="auto"/>
            <w:vAlign w:val="bottom"/>
          </w:tcPr>
          <w:p w:rsidR="00C31FA7" w:rsidRPr="00AC3849" w:rsidRDefault="00C31FA7" w:rsidP="00391697">
            <w:pPr>
              <w:spacing w:after="0" w:line="240" w:lineRule="auto"/>
              <w:jc w:val="center"/>
              <w:textAlignment w:val="bottom"/>
              <w:rPr>
                <w:rFonts w:ascii="Times New Roman" w:eastAsia="Times New Roman" w:hAnsi="Times New Roman" w:cs="Times New Roman"/>
                <w:i/>
                <w:kern w:val="24"/>
                <w:sz w:val="18"/>
                <w:szCs w:val="16"/>
                <w:lang w:eastAsia="nl-NL"/>
              </w:rPr>
            </w:pPr>
            <w:proofErr w:type="spellStart"/>
            <w:r w:rsidRPr="00AC3849">
              <w:rPr>
                <w:rFonts w:ascii="Times New Roman" w:eastAsia="Times New Roman" w:hAnsi="Times New Roman" w:cs="Times New Roman"/>
                <w:i/>
                <w:kern w:val="24"/>
                <w:sz w:val="18"/>
                <w:szCs w:val="16"/>
                <w:lang w:eastAsia="nl-NL"/>
              </w:rPr>
              <w:t>blpB</w:t>
            </w:r>
            <w:proofErr w:type="spellEnd"/>
            <w:r w:rsidRPr="00AC3849">
              <w:rPr>
                <w:rFonts w:ascii="Times New Roman" w:eastAsia="Times New Roman" w:hAnsi="Times New Roman" w:cs="Times New Roman"/>
                <w:i/>
                <w:kern w:val="24"/>
                <w:sz w:val="18"/>
                <w:szCs w:val="16"/>
                <w:lang w:eastAsia="nl-NL"/>
              </w:rPr>
              <w:t>'</w:t>
            </w:r>
          </w:p>
        </w:tc>
        <w:tc>
          <w:tcPr>
            <w:tcW w:w="984" w:type="dxa"/>
            <w:tcBorders>
              <w:top w:val="nil"/>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r>
      <w:tr w:rsidR="00C31FA7" w:rsidRPr="002364C0" w:rsidTr="00391697">
        <w:trPr>
          <w:trHeight w:val="54"/>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p>
        </w:tc>
        <w:tc>
          <w:tcPr>
            <w:tcW w:w="731" w:type="dxa"/>
            <w:tcBorders>
              <w:top w:val="nil"/>
              <w:left w:val="nil"/>
              <w:bottom w:val="nil"/>
              <w:right w:val="nil"/>
            </w:tcBorders>
            <w:shd w:val="clear" w:color="auto" w:fill="auto"/>
            <w:vAlign w:val="bottom"/>
          </w:tcPr>
          <w:p w:rsidR="00C31FA7" w:rsidRPr="00AC3849" w:rsidRDefault="00C31FA7" w:rsidP="00391697">
            <w:pPr>
              <w:spacing w:after="0" w:line="240" w:lineRule="auto"/>
              <w:jc w:val="center"/>
              <w:textAlignment w:val="bottom"/>
              <w:rPr>
                <w:rFonts w:ascii="Times New Roman" w:eastAsia="Times New Roman" w:hAnsi="Times New Roman" w:cs="Times New Roman"/>
                <w:i/>
                <w:kern w:val="24"/>
                <w:sz w:val="18"/>
                <w:szCs w:val="16"/>
                <w:lang w:eastAsia="nl-NL"/>
              </w:rPr>
            </w:pPr>
            <w:r w:rsidRPr="00AC3849">
              <w:rPr>
                <w:rFonts w:ascii="Times New Roman" w:eastAsia="Times New Roman" w:hAnsi="Times New Roman" w:cs="Times New Roman"/>
                <w:i/>
                <w:kern w:val="24"/>
                <w:sz w:val="18"/>
                <w:szCs w:val="16"/>
                <w:lang w:eastAsia="nl-NL"/>
              </w:rPr>
              <w:t>'</w:t>
            </w:r>
            <w:proofErr w:type="spellStart"/>
            <w:r w:rsidRPr="00AC3849">
              <w:rPr>
                <w:rFonts w:ascii="Times New Roman" w:eastAsia="Times New Roman" w:hAnsi="Times New Roman" w:cs="Times New Roman"/>
                <w:i/>
                <w:kern w:val="24"/>
                <w:sz w:val="18"/>
                <w:szCs w:val="16"/>
                <w:lang w:eastAsia="nl-NL"/>
              </w:rPr>
              <w:t>blpA</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r>
      <w:tr w:rsidR="00C31FA7" w:rsidRPr="002364C0" w:rsidTr="00391697">
        <w:trPr>
          <w:trHeight w:val="54"/>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p>
        </w:tc>
        <w:tc>
          <w:tcPr>
            <w:tcW w:w="731" w:type="dxa"/>
            <w:tcBorders>
              <w:top w:val="nil"/>
              <w:left w:val="nil"/>
              <w:bottom w:val="nil"/>
              <w:right w:val="nil"/>
            </w:tcBorders>
            <w:shd w:val="clear" w:color="auto" w:fill="auto"/>
            <w:vAlign w:val="bottom"/>
          </w:tcPr>
          <w:p w:rsidR="00C31FA7" w:rsidRPr="00AC3849" w:rsidRDefault="00C31FA7" w:rsidP="00391697">
            <w:pPr>
              <w:spacing w:after="0" w:line="240" w:lineRule="auto"/>
              <w:jc w:val="center"/>
              <w:textAlignment w:val="bottom"/>
              <w:rPr>
                <w:rFonts w:ascii="Times New Roman" w:eastAsia="Times New Roman" w:hAnsi="Times New Roman" w:cs="Times New Roman"/>
                <w:i/>
                <w:kern w:val="24"/>
                <w:sz w:val="18"/>
                <w:szCs w:val="16"/>
                <w:lang w:eastAsia="nl-NL"/>
              </w:rPr>
            </w:pPr>
            <w:proofErr w:type="spellStart"/>
            <w:r w:rsidRPr="00AC3849">
              <w:rPr>
                <w:rFonts w:ascii="Times New Roman" w:eastAsia="Times New Roman" w:hAnsi="Times New Roman" w:cs="Times New Roman"/>
                <w:i/>
                <w:kern w:val="24"/>
                <w:sz w:val="18"/>
                <w:szCs w:val="16"/>
                <w:lang w:eastAsia="nl-NL"/>
              </w:rPr>
              <w:t>blpA</w:t>
            </w:r>
            <w:proofErr w:type="spellEnd"/>
            <w:r w:rsidRPr="00AC3849">
              <w:rPr>
                <w:rFonts w:ascii="Times New Roman" w:eastAsia="Times New Roman" w:hAnsi="Times New Roman" w:cs="Times New Roman"/>
                <w:i/>
                <w:kern w:val="24"/>
                <w:sz w:val="18"/>
                <w:szCs w:val="16"/>
                <w:lang w:eastAsia="nl-NL"/>
              </w:rPr>
              <w:t>'</w:t>
            </w:r>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2,9</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p>
        </w:tc>
        <w:tc>
          <w:tcPr>
            <w:tcW w:w="731" w:type="dxa"/>
            <w:tcBorders>
              <w:top w:val="nil"/>
              <w:left w:val="nil"/>
              <w:bottom w:val="nil"/>
              <w:right w:val="nil"/>
            </w:tcBorders>
            <w:shd w:val="clear" w:color="auto" w:fill="auto"/>
            <w:vAlign w:val="center"/>
          </w:tcPr>
          <w:p w:rsidR="00C31FA7" w:rsidRPr="00AC3849" w:rsidRDefault="00C31FA7" w:rsidP="00391697">
            <w:pPr>
              <w:spacing w:after="0" w:line="240" w:lineRule="auto"/>
              <w:jc w:val="center"/>
              <w:textAlignment w:val="bottom"/>
              <w:rPr>
                <w:rFonts w:ascii="Times New Roman" w:eastAsia="Times New Roman" w:hAnsi="Times New Roman" w:cs="Times New Roman"/>
                <w:i/>
                <w:kern w:val="24"/>
                <w:sz w:val="18"/>
                <w:szCs w:val="16"/>
                <w:lang w:eastAsia="nl-NL"/>
              </w:rPr>
            </w:pPr>
            <w:proofErr w:type="spellStart"/>
            <w:r>
              <w:rPr>
                <w:rFonts w:ascii="Times New Roman" w:eastAsia="Times New Roman" w:hAnsi="Times New Roman" w:cs="Times New Roman"/>
                <w:i/>
                <w:kern w:val="24"/>
                <w:sz w:val="18"/>
                <w:szCs w:val="16"/>
                <w:lang w:eastAsia="nl-NL"/>
              </w:rPr>
              <w:t>pncW</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4,8</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4,7</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6,8</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14,1</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C6011F">
              <w:rPr>
                <w:rFonts w:ascii="Times New Roman" w:eastAsia="Times New Roman" w:hAnsi="Times New Roman" w:cs="Times New Roman"/>
                <w:color w:val="000000" w:themeColor="dark1"/>
                <w:kern w:val="24"/>
                <w:sz w:val="18"/>
                <w:szCs w:val="16"/>
                <w:lang w:eastAsia="nl-NL"/>
              </w:rPr>
              <w:t>SPD_0473</w:t>
            </w:r>
          </w:p>
        </w:tc>
        <w:tc>
          <w:tcPr>
            <w:tcW w:w="731" w:type="dxa"/>
            <w:tcBorders>
              <w:top w:val="nil"/>
              <w:left w:val="nil"/>
              <w:bottom w:val="nil"/>
              <w:right w:val="nil"/>
            </w:tcBorders>
            <w:shd w:val="clear" w:color="auto" w:fill="auto"/>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i/>
                <w:sz w:val="18"/>
                <w:szCs w:val="16"/>
                <w:lang w:eastAsia="nl-NL"/>
              </w:rPr>
            </w:pPr>
            <w:proofErr w:type="spellStart"/>
            <w:r w:rsidRPr="00C6011F">
              <w:rPr>
                <w:rFonts w:ascii="Times New Roman" w:eastAsia="Times New Roman" w:hAnsi="Times New Roman" w:cs="Times New Roman"/>
                <w:i/>
                <w:color w:val="000000" w:themeColor="dark1"/>
                <w:kern w:val="24"/>
                <w:sz w:val="18"/>
                <w:szCs w:val="16"/>
                <w:lang w:eastAsia="nl-NL"/>
              </w:rPr>
              <w:t>blpY</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hideMark/>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5,6</w:t>
            </w: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6,0</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11,3</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C6011F">
              <w:rPr>
                <w:rFonts w:ascii="Times New Roman" w:eastAsia="Times New Roman" w:hAnsi="Times New Roman" w:cs="Times New Roman"/>
                <w:color w:val="000000" w:themeColor="dark1"/>
                <w:kern w:val="24"/>
                <w:sz w:val="18"/>
                <w:szCs w:val="16"/>
                <w:lang w:eastAsia="nl-NL"/>
              </w:rPr>
              <w:t>SPD_0474</w:t>
            </w:r>
          </w:p>
        </w:tc>
        <w:tc>
          <w:tcPr>
            <w:tcW w:w="731" w:type="dxa"/>
            <w:tcBorders>
              <w:top w:val="nil"/>
              <w:left w:val="nil"/>
              <w:bottom w:val="nil"/>
              <w:right w:val="nil"/>
            </w:tcBorders>
            <w:shd w:val="clear" w:color="auto" w:fill="auto"/>
            <w:vAlign w:val="center"/>
          </w:tcPr>
          <w:p w:rsidR="00C31FA7" w:rsidRPr="002205F8" w:rsidRDefault="00C31FA7" w:rsidP="00391697">
            <w:pPr>
              <w:spacing w:after="0" w:line="240" w:lineRule="auto"/>
              <w:jc w:val="center"/>
              <w:textAlignment w:val="bottom"/>
              <w:rPr>
                <w:rFonts w:ascii="Times New Roman" w:eastAsia="Times New Roman" w:hAnsi="Times New Roman" w:cs="Times New Roman"/>
                <w:i/>
                <w:sz w:val="18"/>
                <w:szCs w:val="16"/>
                <w:lang w:eastAsia="nl-NL"/>
              </w:rPr>
            </w:pPr>
            <w:proofErr w:type="spellStart"/>
            <w:r w:rsidRPr="002205F8">
              <w:rPr>
                <w:rFonts w:ascii="Times New Roman" w:eastAsia="Times New Roman" w:hAnsi="Times New Roman" w:cs="Times New Roman"/>
                <w:i/>
                <w:color w:val="000000" w:themeColor="dark1"/>
                <w:kern w:val="24"/>
                <w:sz w:val="18"/>
                <w:szCs w:val="16"/>
                <w:lang w:eastAsia="nl-NL"/>
              </w:rPr>
              <w:t>blpZ</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hideMark/>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7,3</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8,2</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12,6</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C6011F">
              <w:rPr>
                <w:rFonts w:ascii="Times New Roman" w:eastAsia="Times New Roman" w:hAnsi="Times New Roman" w:cs="Times New Roman"/>
                <w:color w:val="000000" w:themeColor="dark1"/>
                <w:kern w:val="24"/>
                <w:sz w:val="18"/>
                <w:szCs w:val="16"/>
                <w:lang w:eastAsia="nl-NL"/>
              </w:rPr>
              <w:t>SPD_0475</w:t>
            </w:r>
          </w:p>
        </w:tc>
        <w:tc>
          <w:tcPr>
            <w:tcW w:w="731" w:type="dxa"/>
            <w:tcBorders>
              <w:top w:val="nil"/>
              <w:left w:val="nil"/>
              <w:bottom w:val="nil"/>
              <w:right w:val="nil"/>
            </w:tcBorders>
            <w:shd w:val="clear" w:color="auto" w:fill="auto"/>
            <w:vAlign w:val="center"/>
          </w:tcPr>
          <w:p w:rsidR="00C31FA7" w:rsidRPr="002205F8" w:rsidRDefault="00C31FA7" w:rsidP="00391697">
            <w:pPr>
              <w:spacing w:after="0" w:line="240" w:lineRule="auto"/>
              <w:jc w:val="center"/>
              <w:textAlignment w:val="bottom"/>
              <w:rPr>
                <w:rFonts w:ascii="Times New Roman" w:eastAsia="Times New Roman" w:hAnsi="Times New Roman" w:cs="Times New Roman"/>
                <w:i/>
                <w:sz w:val="18"/>
                <w:szCs w:val="16"/>
                <w:lang w:eastAsia="nl-NL"/>
              </w:rPr>
            </w:pPr>
            <w:proofErr w:type="spellStart"/>
            <w:r>
              <w:rPr>
                <w:rFonts w:ascii="Times New Roman" w:eastAsia="Times New Roman" w:hAnsi="Times New Roman" w:cs="Times New Roman"/>
                <w:i/>
                <w:color w:val="000000" w:themeColor="dark1"/>
                <w:kern w:val="24"/>
                <w:sz w:val="18"/>
                <w:szCs w:val="16"/>
                <w:lang w:eastAsia="nl-NL"/>
              </w:rPr>
              <w:t>pncP</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hideMark/>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5,8</w:t>
            </w:r>
          </w:p>
        </w:tc>
        <w:tc>
          <w:tcPr>
            <w:tcW w:w="1136" w:type="dxa"/>
            <w:tcBorders>
              <w:top w:val="nil"/>
              <w:left w:val="nil"/>
              <w:bottom w:val="nil"/>
              <w:right w:val="nil"/>
            </w:tcBorders>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4,9</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7,8</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hideMark/>
          </w:tcPr>
          <w:p w:rsidR="00C31FA7" w:rsidRPr="00C6011F"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p>
        </w:tc>
        <w:tc>
          <w:tcPr>
            <w:tcW w:w="731" w:type="dxa"/>
            <w:tcBorders>
              <w:top w:val="nil"/>
              <w:left w:val="nil"/>
              <w:bottom w:val="nil"/>
              <w:right w:val="nil"/>
            </w:tcBorders>
            <w:shd w:val="clear" w:color="auto" w:fill="auto"/>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p>
        </w:tc>
        <w:tc>
          <w:tcPr>
            <w:tcW w:w="984" w:type="dxa"/>
            <w:tcBorders>
              <w:top w:val="nil"/>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r>
      <w:tr w:rsidR="00C31FA7" w:rsidRPr="002364C0" w:rsidTr="00391697">
        <w:trPr>
          <w:trHeight w:val="42"/>
        </w:trPr>
        <w:tc>
          <w:tcPr>
            <w:tcW w:w="1575" w:type="dxa"/>
            <w:gridSpan w:val="2"/>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C6011F"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Pr>
                <w:rFonts w:ascii="Times New Roman" w:eastAsia="Times New Roman" w:hAnsi="Times New Roman" w:cs="Times New Roman"/>
                <w:color w:val="000000" w:themeColor="dark1"/>
                <w:kern w:val="24"/>
                <w:sz w:val="18"/>
                <w:szCs w:val="16"/>
                <w:lang w:eastAsia="nl-NL"/>
              </w:rPr>
              <w:t xml:space="preserve">Com </w:t>
            </w:r>
            <w:proofErr w:type="spellStart"/>
            <w:r>
              <w:rPr>
                <w:rFonts w:ascii="Times New Roman" w:eastAsia="Times New Roman" w:hAnsi="Times New Roman" w:cs="Times New Roman"/>
                <w:color w:val="000000" w:themeColor="dark1"/>
                <w:kern w:val="24"/>
                <w:sz w:val="18"/>
                <w:szCs w:val="16"/>
                <w:lang w:eastAsia="nl-NL"/>
              </w:rPr>
              <w:t>genes</w:t>
            </w:r>
            <w:proofErr w:type="spellEnd"/>
            <w:r>
              <w:rPr>
                <w:rFonts w:ascii="Times New Roman" w:eastAsia="Times New Roman" w:hAnsi="Times New Roman" w:cs="Times New Roman"/>
                <w:color w:val="000000" w:themeColor="dark1"/>
                <w:kern w:val="24"/>
                <w:sz w:val="18"/>
                <w:szCs w:val="16"/>
                <w:lang w:eastAsia="nl-NL"/>
              </w:rPr>
              <w:t xml:space="preserve"> (</w:t>
            </w:r>
            <w:proofErr w:type="spellStart"/>
            <w:r>
              <w:rPr>
                <w:rFonts w:ascii="Times New Roman" w:eastAsia="Times New Roman" w:hAnsi="Times New Roman" w:cs="Times New Roman"/>
                <w:color w:val="000000" w:themeColor="dark1"/>
                <w:kern w:val="24"/>
                <w:sz w:val="18"/>
                <w:szCs w:val="16"/>
                <w:lang w:eastAsia="nl-NL"/>
              </w:rPr>
              <w:t>early</w:t>
            </w:r>
            <w:proofErr w:type="spellEnd"/>
            <w:r>
              <w:rPr>
                <w:rFonts w:ascii="Times New Roman" w:eastAsia="Times New Roman" w:hAnsi="Times New Roman" w:cs="Times New Roman"/>
                <w:color w:val="000000" w:themeColor="dark1"/>
                <w:kern w:val="24"/>
                <w:sz w:val="18"/>
                <w:szCs w:val="16"/>
                <w:lang w:eastAsia="nl-NL"/>
              </w:rPr>
              <w:t>)</w:t>
            </w:r>
            <w:r w:rsidRPr="00AC3849">
              <w:rPr>
                <w:rFonts w:ascii="Times New Roman" w:eastAsia="Times New Roman" w:hAnsi="Times New Roman" w:cs="Times New Roman"/>
                <w:bCs/>
                <w:color w:val="000000" w:themeColor="dark1"/>
                <w:kern w:val="24"/>
                <w:sz w:val="18"/>
                <w:szCs w:val="16"/>
                <w:vertAlign w:val="superscript"/>
                <w:lang w:val="en-US" w:eastAsia="nl-NL"/>
              </w:rPr>
              <w:t>‡</w:t>
            </w:r>
          </w:p>
        </w:tc>
        <w:tc>
          <w:tcPr>
            <w:tcW w:w="984" w:type="dxa"/>
            <w:tcBorders>
              <w:top w:val="nil"/>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SPD_0049</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comA</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65,0</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57,8</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332,3</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69,8</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SPD_0050</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comB</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58,7</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51,0</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461,5</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70,7</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SPD_2065</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r w:rsidRPr="00397CC3">
              <w:rPr>
                <w:rFonts w:ascii="Times New Roman" w:eastAsia="Times New Roman" w:hAnsi="Times New Roman" w:cs="Times New Roman"/>
                <w:i/>
                <w:color w:val="000000" w:themeColor="dark1"/>
                <w:kern w:val="24"/>
                <w:sz w:val="18"/>
                <w:szCs w:val="16"/>
                <w:lang w:eastAsia="nl-NL"/>
              </w:rPr>
              <w:t>comC1</w:t>
            </w:r>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18,4</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24,1</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20,2</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5,3</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SPD_2064</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comD</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58,7</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50,2</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55,7</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12,4</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SPD_2063</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comE</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55,6</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48,1</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43,5</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9,4</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SPD_0014</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comX</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86,8</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107,7</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366,5</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28,8</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r>
      <w:tr w:rsidR="00C31FA7" w:rsidRPr="002364C0" w:rsidTr="00391697">
        <w:trPr>
          <w:trHeight w:val="42"/>
        </w:trPr>
        <w:tc>
          <w:tcPr>
            <w:tcW w:w="1575" w:type="dxa"/>
            <w:gridSpan w:val="2"/>
            <w:tcBorders>
              <w:top w:val="nil"/>
              <w:left w:val="single" w:sz="4" w:space="0" w:color="auto"/>
              <w:bottom w:val="nil"/>
              <w:right w:val="nil"/>
            </w:tcBorders>
            <w:shd w:val="clear" w:color="auto" w:fill="auto"/>
            <w:tcMar>
              <w:top w:w="6" w:type="dxa"/>
              <w:left w:w="6" w:type="dxa"/>
              <w:bottom w:w="0" w:type="dxa"/>
              <w:right w:w="6" w:type="dxa"/>
            </w:tcMar>
            <w:vAlign w:val="center"/>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r>
              <w:rPr>
                <w:rFonts w:ascii="Times New Roman" w:eastAsia="Times New Roman" w:hAnsi="Times New Roman" w:cs="Times New Roman"/>
                <w:color w:val="000000" w:themeColor="dark1"/>
                <w:kern w:val="24"/>
                <w:sz w:val="18"/>
                <w:szCs w:val="16"/>
                <w:lang w:eastAsia="nl-NL"/>
              </w:rPr>
              <w:t xml:space="preserve">Com </w:t>
            </w:r>
            <w:proofErr w:type="spellStart"/>
            <w:r>
              <w:rPr>
                <w:rFonts w:ascii="Times New Roman" w:eastAsia="Times New Roman" w:hAnsi="Times New Roman" w:cs="Times New Roman"/>
                <w:color w:val="000000" w:themeColor="dark1"/>
                <w:kern w:val="24"/>
                <w:sz w:val="18"/>
                <w:szCs w:val="16"/>
                <w:lang w:eastAsia="nl-NL"/>
              </w:rPr>
              <w:t>genes</w:t>
            </w:r>
            <w:proofErr w:type="spellEnd"/>
            <w:r>
              <w:rPr>
                <w:rFonts w:ascii="Times New Roman" w:eastAsia="Times New Roman" w:hAnsi="Times New Roman" w:cs="Times New Roman"/>
                <w:color w:val="000000" w:themeColor="dark1"/>
                <w:kern w:val="24"/>
                <w:sz w:val="18"/>
                <w:szCs w:val="16"/>
                <w:lang w:eastAsia="nl-NL"/>
              </w:rPr>
              <w:t xml:space="preserve"> (late)</w:t>
            </w:r>
            <w:r w:rsidRPr="00AC3849">
              <w:rPr>
                <w:rFonts w:ascii="Times New Roman" w:eastAsia="Times New Roman" w:hAnsi="Times New Roman" w:cs="Times New Roman"/>
                <w:bCs/>
                <w:color w:val="000000" w:themeColor="dark1"/>
                <w:kern w:val="24"/>
                <w:sz w:val="18"/>
                <w:szCs w:val="16"/>
                <w:vertAlign w:val="superscript"/>
                <w:lang w:val="en-US" w:eastAsia="nl-NL"/>
              </w:rPr>
              <w:t xml:space="preserve"> ‡</w:t>
            </w:r>
            <w:r>
              <w:t xml:space="preserve"> </w:t>
            </w:r>
          </w:p>
        </w:tc>
        <w:tc>
          <w:tcPr>
            <w:tcW w:w="984" w:type="dxa"/>
            <w:tcBorders>
              <w:top w:val="nil"/>
              <w:left w:val="nil"/>
              <w:bottom w:val="nil"/>
              <w:right w:val="nil"/>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nil"/>
            </w:tcBorders>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center"/>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SPD_1711</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ssbB</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1120,3</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61,8</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690,6</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161,9</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SPD_2028</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cbpD</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160,0</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10,0</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370,0</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32,3</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SPD_0975</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radC</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93,8</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10,9</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50,2</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7,9</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SPD_1863</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cglA</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61,8</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5,5</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991,0</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45,7</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SPD_1862</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cglB</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275,7</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14,0</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666,7</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73,7</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nil"/>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SPD_1861</w:t>
            </w:r>
          </w:p>
        </w:tc>
        <w:tc>
          <w:tcPr>
            <w:tcW w:w="731" w:type="dxa"/>
            <w:tcBorders>
              <w:top w:val="nil"/>
              <w:left w:val="nil"/>
              <w:bottom w:val="nil"/>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cglC</w:t>
            </w:r>
            <w:proofErr w:type="spellEnd"/>
          </w:p>
        </w:tc>
        <w:tc>
          <w:tcPr>
            <w:tcW w:w="984" w:type="dxa"/>
            <w:tcBorders>
              <w:top w:val="nil"/>
              <w:left w:val="nil"/>
              <w:bottom w:val="nil"/>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196,7</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9,3</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463,5</w:t>
            </w:r>
          </w:p>
        </w:tc>
        <w:tc>
          <w:tcPr>
            <w:tcW w:w="1136" w:type="dxa"/>
            <w:tcBorders>
              <w:top w:val="nil"/>
              <w:left w:val="nil"/>
              <w:bottom w:val="nil"/>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33,3</w:t>
            </w:r>
          </w:p>
        </w:tc>
        <w:tc>
          <w:tcPr>
            <w:tcW w:w="1136" w:type="dxa"/>
            <w:tcBorders>
              <w:top w:val="nil"/>
              <w:left w:val="nil"/>
              <w:bottom w:val="nil"/>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r w:rsidR="00C31FA7" w:rsidRPr="002364C0" w:rsidTr="00391697">
        <w:trPr>
          <w:trHeight w:val="42"/>
        </w:trPr>
        <w:tc>
          <w:tcPr>
            <w:tcW w:w="844" w:type="dxa"/>
            <w:tcBorders>
              <w:top w:val="nil"/>
              <w:left w:val="single" w:sz="4" w:space="0" w:color="auto"/>
              <w:bottom w:val="single" w:sz="4" w:space="0" w:color="auto"/>
              <w:right w:val="nil"/>
            </w:tcBorders>
            <w:shd w:val="clear" w:color="auto" w:fill="auto"/>
            <w:tcMar>
              <w:top w:w="6" w:type="dxa"/>
              <w:left w:w="6" w:type="dxa"/>
              <w:bottom w:w="0" w:type="dxa"/>
              <w:right w:w="6" w:type="dxa"/>
            </w:tcMar>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color w:val="000000" w:themeColor="dark1"/>
                <w:kern w:val="24"/>
                <w:sz w:val="18"/>
                <w:szCs w:val="16"/>
                <w:lang w:eastAsia="nl-NL"/>
              </w:rPr>
            </w:pPr>
            <w:r w:rsidRPr="00397CC3">
              <w:rPr>
                <w:rFonts w:ascii="Times New Roman" w:eastAsia="Times New Roman" w:hAnsi="Times New Roman" w:cs="Times New Roman"/>
                <w:color w:val="000000" w:themeColor="dark1"/>
                <w:kern w:val="24"/>
                <w:sz w:val="18"/>
                <w:szCs w:val="16"/>
                <w:lang w:eastAsia="nl-NL"/>
              </w:rPr>
              <w:t>SPD_1860</w:t>
            </w:r>
          </w:p>
        </w:tc>
        <w:tc>
          <w:tcPr>
            <w:tcW w:w="731" w:type="dxa"/>
            <w:tcBorders>
              <w:top w:val="nil"/>
              <w:left w:val="nil"/>
              <w:bottom w:val="single" w:sz="4" w:space="0" w:color="auto"/>
              <w:right w:val="nil"/>
            </w:tcBorders>
            <w:shd w:val="clear" w:color="auto" w:fill="auto"/>
            <w:vAlign w:val="bottom"/>
          </w:tcPr>
          <w:p w:rsidR="00C31FA7" w:rsidRPr="00397CC3" w:rsidRDefault="00C31FA7" w:rsidP="00391697">
            <w:pPr>
              <w:spacing w:after="0" w:line="240" w:lineRule="auto"/>
              <w:jc w:val="center"/>
              <w:textAlignment w:val="bottom"/>
              <w:rPr>
                <w:rFonts w:ascii="Times New Roman" w:eastAsia="Times New Roman" w:hAnsi="Times New Roman" w:cs="Times New Roman"/>
                <w:i/>
                <w:color w:val="000000" w:themeColor="dark1"/>
                <w:kern w:val="24"/>
                <w:sz w:val="18"/>
                <w:szCs w:val="16"/>
                <w:lang w:eastAsia="nl-NL"/>
              </w:rPr>
            </w:pPr>
            <w:proofErr w:type="spellStart"/>
            <w:r w:rsidRPr="00397CC3">
              <w:rPr>
                <w:rFonts w:ascii="Times New Roman" w:eastAsia="Times New Roman" w:hAnsi="Times New Roman" w:cs="Times New Roman"/>
                <w:i/>
                <w:color w:val="000000" w:themeColor="dark1"/>
                <w:kern w:val="24"/>
                <w:sz w:val="18"/>
                <w:szCs w:val="16"/>
                <w:lang w:eastAsia="nl-NL"/>
              </w:rPr>
              <w:t>clgD</w:t>
            </w:r>
            <w:proofErr w:type="spellEnd"/>
          </w:p>
        </w:tc>
        <w:tc>
          <w:tcPr>
            <w:tcW w:w="984" w:type="dxa"/>
            <w:tcBorders>
              <w:top w:val="nil"/>
              <w:left w:val="nil"/>
              <w:bottom w:val="single" w:sz="4" w:space="0" w:color="auto"/>
              <w:right w:val="nil"/>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301,6</w:t>
            </w:r>
          </w:p>
        </w:tc>
        <w:tc>
          <w:tcPr>
            <w:tcW w:w="1136" w:type="dxa"/>
            <w:tcBorders>
              <w:top w:val="nil"/>
              <w:left w:val="nil"/>
              <w:bottom w:val="single" w:sz="4" w:space="0" w:color="auto"/>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13,0</w:t>
            </w:r>
          </w:p>
        </w:tc>
        <w:tc>
          <w:tcPr>
            <w:tcW w:w="1136" w:type="dxa"/>
            <w:tcBorders>
              <w:top w:val="nil"/>
              <w:left w:val="nil"/>
              <w:bottom w:val="single" w:sz="4" w:space="0" w:color="auto"/>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394,4</w:t>
            </w:r>
          </w:p>
        </w:tc>
        <w:tc>
          <w:tcPr>
            <w:tcW w:w="1136" w:type="dxa"/>
            <w:tcBorders>
              <w:top w:val="nil"/>
              <w:left w:val="nil"/>
              <w:bottom w:val="single" w:sz="4" w:space="0" w:color="auto"/>
              <w:right w:val="nil"/>
            </w:tcBorders>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43,4</w:t>
            </w:r>
          </w:p>
        </w:tc>
        <w:tc>
          <w:tcPr>
            <w:tcW w:w="1136" w:type="dxa"/>
            <w:tcBorders>
              <w:top w:val="nil"/>
              <w:left w:val="nil"/>
              <w:bottom w:val="single" w:sz="4" w:space="0" w:color="auto"/>
              <w:right w:val="single" w:sz="4" w:space="0" w:color="auto"/>
            </w:tcBorders>
            <w:shd w:val="clear" w:color="auto" w:fill="auto"/>
            <w:tcMar>
              <w:top w:w="6" w:type="dxa"/>
              <w:left w:w="6" w:type="dxa"/>
              <w:bottom w:w="0" w:type="dxa"/>
              <w:right w:w="6" w:type="dxa"/>
            </w:tcMar>
            <w:vAlign w:val="bottom"/>
          </w:tcPr>
          <w:p w:rsidR="00C31FA7" w:rsidRPr="003368DE" w:rsidRDefault="00C31FA7" w:rsidP="00391697">
            <w:pPr>
              <w:spacing w:after="0" w:line="240" w:lineRule="auto"/>
              <w:jc w:val="center"/>
              <w:textAlignment w:val="bottom"/>
              <w:rPr>
                <w:rFonts w:ascii="Times New Roman" w:eastAsia="Times New Roman" w:hAnsi="Times New Roman" w:cs="Times New Roman"/>
                <w:sz w:val="18"/>
                <w:szCs w:val="16"/>
                <w:lang w:eastAsia="nl-NL"/>
              </w:rPr>
            </w:pPr>
            <w:r w:rsidRPr="003368DE">
              <w:rPr>
                <w:rFonts w:ascii="Times New Roman" w:eastAsia="Times New Roman" w:hAnsi="Times New Roman" w:cs="Times New Roman"/>
                <w:sz w:val="18"/>
                <w:szCs w:val="16"/>
                <w:lang w:eastAsia="nl-NL"/>
              </w:rPr>
              <w:t>-</w:t>
            </w:r>
          </w:p>
        </w:tc>
      </w:tr>
    </w:tbl>
    <w:p w:rsidR="00C31FA7" w:rsidRPr="007851B5" w:rsidRDefault="00C31FA7" w:rsidP="00C31FA7">
      <w:pPr>
        <w:spacing w:after="0" w:line="240" w:lineRule="auto"/>
        <w:rPr>
          <w:rFonts w:ascii="Times New Roman" w:hAnsi="Times New Roman" w:cs="Times New Roman"/>
          <w:sz w:val="16"/>
          <w:szCs w:val="16"/>
          <w:lang w:val="en-US"/>
        </w:rPr>
      </w:pPr>
      <w:r w:rsidRPr="007851B5">
        <w:rPr>
          <w:rFonts w:ascii="Times New Roman" w:hAnsi="Times New Roman" w:cs="Times New Roman"/>
          <w:sz w:val="16"/>
          <w:szCs w:val="16"/>
          <w:vertAlign w:val="superscript"/>
          <w:lang w:val="en-US"/>
        </w:rPr>
        <w:t>*</w:t>
      </w:r>
      <w:r w:rsidRPr="007851B5">
        <w:rPr>
          <w:rFonts w:ascii="Times New Roman" w:hAnsi="Times New Roman" w:cs="Times New Roman"/>
          <w:sz w:val="16"/>
          <w:szCs w:val="16"/>
          <w:lang w:val="en-US"/>
        </w:rPr>
        <w:t>The fold-changes between the antibiotic-exposed samples and the control sample (normal growth, no exposure to antibiotics) are given in all cases where the q-values &lt; 0.05. A dash (-) denotes no significant regulation. For this experiment, cell</w:t>
      </w:r>
      <w:r>
        <w:rPr>
          <w:rFonts w:ascii="Times New Roman" w:hAnsi="Times New Roman" w:cs="Times New Roman"/>
          <w:sz w:val="16"/>
          <w:szCs w:val="16"/>
          <w:lang w:val="en-US"/>
        </w:rPr>
        <w:t>s</w:t>
      </w:r>
      <w:r w:rsidRPr="007851B5">
        <w:rPr>
          <w:rFonts w:ascii="Times New Roman" w:hAnsi="Times New Roman" w:cs="Times New Roman"/>
          <w:sz w:val="16"/>
          <w:szCs w:val="16"/>
          <w:lang w:val="en-US"/>
        </w:rPr>
        <w:t xml:space="preserve"> were harvested in the early growth phase, when they had reached 1/3 of the maximal OD</w:t>
      </w:r>
      <w:r w:rsidRPr="007851B5">
        <w:rPr>
          <w:rFonts w:ascii="Times New Roman" w:hAnsi="Times New Roman" w:cs="Times New Roman"/>
          <w:sz w:val="16"/>
          <w:szCs w:val="16"/>
          <w:vertAlign w:val="subscript"/>
          <w:lang w:val="en-US"/>
        </w:rPr>
        <w:t>600</w:t>
      </w:r>
      <w:r w:rsidRPr="007851B5">
        <w:rPr>
          <w:rFonts w:ascii="Times New Roman" w:hAnsi="Times New Roman" w:cs="Times New Roman"/>
          <w:sz w:val="16"/>
          <w:szCs w:val="16"/>
          <w:lang w:val="en-US"/>
        </w:rPr>
        <w:t xml:space="preserve"> </w:t>
      </w:r>
      <w:r w:rsidRPr="007851B5">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u96bk8a3l","properties":{"formattedCitation":"[1]","plainCitation":"[1]"},"citationItems":[{"id":565,"uris":["http://zotero.org/users/1212538/items/WV877UW4"],"uri":["http://zotero.org/users/1212538/items/WV877UW4"],"itemData":{"id":565,"type":"article-journal","title":"Antibiotic-induced replication stress triggers bacterial competence by increasing gene dosage near the origin","container-title":"Cell","page":"395-406","volume":"157","issue":"2","source":"www.cell.com","abstract":"Streptococcus pneumoniae (pneumococcus) kills nearly 1 million children annually, and the emergence of antibiotic-resistant strains poses a serious threat to human health. Because pneumococci can take up DNA from their environment by a process called competence, genes associated with antibiotic resistance can rapidly spread. Remarkably, competence is activated in response to several antibiotics. Here, we demonstrate that antibiotics targeting DNA replication cause an increase in the copy number of genes proximal to the origin of replication (oriC). As the genes required for competence initiation are located near oriC, competence is thereby activated. Transcriptome analyses show that antibiotics targeting DNA replication also upregulate origin-proximal gene expression in other bacteria. This mechanism is a direct, intrinsic consequence of replication fork stalling. Our data suggest that evolution has conserved the oriC-proximal location of important genes in bacteria to allow for a robust response to replication stress without the need for complex gene-regulatory pathways.,","DOI":"10.1016/j.cell.2014.01.068","ISSN":"0092-8674","note":"PMID: 24725406","language":"English","author":[{"family":"Slager","given":"Jelle"},{"family":"Kjos","given":"Morten"},{"family":"Attaiech","given":"Laetitia"},{"family":"Veening","given":"Jan-Willem"}],"issued":{"date-parts":[["2014",10,4]]},"PMID":"24725406"}}],"schema":"https://github.com/citation-style-language/schema/raw/master/csl-citation.json"} </w:instrText>
      </w:r>
      <w:r w:rsidRPr="007851B5">
        <w:rPr>
          <w:rFonts w:ascii="Times New Roman" w:hAnsi="Times New Roman" w:cs="Times New Roman"/>
          <w:sz w:val="16"/>
          <w:szCs w:val="16"/>
          <w:lang w:val="en-US"/>
        </w:rPr>
        <w:fldChar w:fldCharType="separate"/>
      </w:r>
      <w:r w:rsidRPr="00ED1270">
        <w:rPr>
          <w:rFonts w:ascii="Times New Roman" w:hAnsi="Times New Roman" w:cs="Times New Roman"/>
          <w:sz w:val="16"/>
          <w:lang w:val="en-US"/>
        </w:rPr>
        <w:t>[1]</w:t>
      </w:r>
      <w:r w:rsidRPr="007851B5">
        <w:rPr>
          <w:rFonts w:ascii="Times New Roman" w:hAnsi="Times New Roman" w:cs="Times New Roman"/>
          <w:sz w:val="16"/>
          <w:szCs w:val="16"/>
          <w:lang w:val="en-US"/>
        </w:rPr>
        <w:fldChar w:fldCharType="end"/>
      </w:r>
      <w:r w:rsidRPr="007851B5">
        <w:rPr>
          <w:rFonts w:ascii="Times New Roman" w:hAnsi="Times New Roman" w:cs="Times New Roman"/>
          <w:sz w:val="16"/>
          <w:szCs w:val="16"/>
          <w:lang w:val="en-US"/>
        </w:rPr>
        <w:t>.</w:t>
      </w:r>
    </w:p>
    <w:p w:rsidR="00C31FA7" w:rsidRPr="00AC3849" w:rsidRDefault="00C31FA7" w:rsidP="00C31FA7">
      <w:pPr>
        <w:spacing w:after="0" w:line="240" w:lineRule="auto"/>
        <w:rPr>
          <w:rFonts w:ascii="Times New Roman" w:hAnsi="Times New Roman" w:cs="Times New Roman"/>
          <w:sz w:val="16"/>
          <w:szCs w:val="16"/>
          <w:lang w:val="en-US"/>
        </w:rPr>
      </w:pPr>
      <w:r w:rsidRPr="007851B5">
        <w:rPr>
          <w:rFonts w:ascii="Times New Roman" w:hAnsi="Times New Roman" w:cs="Times New Roman"/>
          <w:sz w:val="16"/>
          <w:szCs w:val="16"/>
          <w:vertAlign w:val="superscript"/>
          <w:lang w:val="en-US"/>
        </w:rPr>
        <w:t>†</w:t>
      </w:r>
      <w:r>
        <w:rPr>
          <w:rFonts w:ascii="Times New Roman" w:hAnsi="Times New Roman" w:cs="Times New Roman"/>
          <w:sz w:val="16"/>
          <w:szCs w:val="16"/>
          <w:lang w:val="en-US"/>
        </w:rPr>
        <w:t xml:space="preserve"> Names of putative </w:t>
      </w:r>
      <w:proofErr w:type="spellStart"/>
      <w:r>
        <w:rPr>
          <w:rFonts w:ascii="Times New Roman" w:hAnsi="Times New Roman" w:cs="Times New Roman"/>
          <w:sz w:val="16"/>
          <w:szCs w:val="16"/>
          <w:lang w:val="en-US"/>
        </w:rPr>
        <w:t>bacteriocin</w:t>
      </w:r>
      <w:proofErr w:type="spellEnd"/>
      <w:r>
        <w:rPr>
          <w:rFonts w:ascii="Times New Roman" w:hAnsi="Times New Roman" w:cs="Times New Roman"/>
          <w:sz w:val="16"/>
          <w:szCs w:val="16"/>
          <w:lang w:val="en-US"/>
        </w:rPr>
        <w:t xml:space="preserve"> and immunity genes are given according to </w:t>
      </w:r>
      <w:proofErr w:type="spellStart"/>
      <w:r>
        <w:rPr>
          <w:rFonts w:ascii="Times New Roman" w:hAnsi="Times New Roman" w:cs="Times New Roman"/>
          <w:sz w:val="16"/>
          <w:szCs w:val="16"/>
          <w:lang w:val="en-US"/>
        </w:rPr>
        <w:t>Boogardt</w:t>
      </w:r>
      <w:proofErr w:type="spellEnd"/>
      <w:r>
        <w:rPr>
          <w:rFonts w:ascii="Times New Roman" w:hAnsi="Times New Roman" w:cs="Times New Roman"/>
          <w:sz w:val="16"/>
          <w:szCs w:val="16"/>
          <w:lang w:val="en-US"/>
        </w:rPr>
        <w:t xml:space="preserve"> et al. </w:t>
      </w: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OrdzsbZ5","properties":{"formattedCitation":"[2]","plainCitation":"[2]"},"citationItems":[{"id":961,"uris":["http://zotero.org/users/1212538/items/KR3I2WIA"],"uri":["http://zotero.org/users/1212538/items/KR3I2WIA"],"itemData":{"id":961,"type":"article-journal","title":"Genomic analyses of pneumococci reveal a wide diversity of bacteriocins – including pneumocyclicin, a novel circular bacteriocin","container-title":"BMC Genomics","page":"554","volume":"16","issue":"1","source":"www.biomedcentral.com","abstract":"One of the most important global pathogens infecting all age groups is Streptococcus pneumoniae (the ‘pneumococcus’). Pneumococci reside in the paediatric nasopharynx, where they compete for space and resources, and one competition strategy is to produce a bacteriocin (antimicrobial peptide or protein) to attack other bacteria and an immunity protein to protect against self-destruction. We analysed a collection of 336 diverse pneumococcal genomes dating from 1916 onwards, identified bacteriocin cassettes, detailed their genetic composition and sequence diversity, and evaluated the data in the context of the pneumococcal population structure.","DOI":"10.1186/s12864-015-1729-4","ISSN":"1471-2164","note":"PMID: 26215050","journalAbbreviation":"BMC Genomics","language":"en","author":[{"family":"Bogaardt","given":"Carlijn"},{"family":"Tonder","given":"Andries J.","dropping-particle":"van"},{"family":"Brueggemann","given":"Angela B."}],"issued":{"date-parts":[["2015",7,28]]},"PMID":"26215050"}}],"schema":"https://github.com/citation-style-language/schema/raw/master/csl-citation.json"} </w:instrText>
      </w:r>
      <w:r>
        <w:rPr>
          <w:rFonts w:ascii="Times New Roman" w:hAnsi="Times New Roman" w:cs="Times New Roman"/>
          <w:sz w:val="16"/>
          <w:szCs w:val="16"/>
          <w:lang w:val="en-US"/>
        </w:rPr>
        <w:fldChar w:fldCharType="separate"/>
      </w:r>
      <w:r w:rsidRPr="002B5498">
        <w:rPr>
          <w:rFonts w:ascii="Times New Roman" w:hAnsi="Times New Roman" w:cs="Times New Roman"/>
          <w:sz w:val="16"/>
        </w:rPr>
        <w:t>[2]</w:t>
      </w:r>
      <w:r>
        <w:rPr>
          <w:rFonts w:ascii="Times New Roman" w:hAnsi="Times New Roman" w:cs="Times New Roman"/>
          <w:sz w:val="16"/>
          <w:szCs w:val="16"/>
          <w:lang w:val="en-US"/>
        </w:rPr>
        <w:fldChar w:fldCharType="end"/>
      </w:r>
      <w:r>
        <w:rPr>
          <w:rFonts w:ascii="Times New Roman" w:hAnsi="Times New Roman" w:cs="Times New Roman"/>
          <w:sz w:val="16"/>
          <w:szCs w:val="16"/>
          <w:lang w:val="en-US"/>
        </w:rPr>
        <w:t xml:space="preserve">. </w:t>
      </w:r>
    </w:p>
    <w:p w:rsidR="00C31FA7" w:rsidRDefault="00C31FA7" w:rsidP="00C31FA7">
      <w:pPr>
        <w:spacing w:after="0" w:line="240" w:lineRule="auto"/>
        <w:rPr>
          <w:rFonts w:ascii="Times New Roman" w:hAnsi="Times New Roman" w:cs="Times New Roman"/>
          <w:sz w:val="16"/>
          <w:szCs w:val="16"/>
          <w:lang w:val="en-US"/>
        </w:rPr>
      </w:pPr>
      <w:r w:rsidRPr="00AC3849">
        <w:rPr>
          <w:rFonts w:ascii="Times New Roman" w:eastAsia="Times New Roman" w:hAnsi="Times New Roman" w:cs="Times New Roman"/>
          <w:bCs/>
          <w:color w:val="000000" w:themeColor="dark1"/>
          <w:kern w:val="24"/>
          <w:sz w:val="18"/>
          <w:szCs w:val="16"/>
          <w:vertAlign w:val="superscript"/>
          <w:lang w:val="en-US" w:eastAsia="nl-NL"/>
        </w:rPr>
        <w:t>‡</w:t>
      </w:r>
      <w:r w:rsidRPr="007851B5">
        <w:rPr>
          <w:rFonts w:ascii="Times New Roman" w:hAnsi="Times New Roman" w:cs="Times New Roman"/>
          <w:sz w:val="16"/>
          <w:szCs w:val="16"/>
          <w:lang w:val="en-US"/>
        </w:rPr>
        <w:t xml:space="preserve">Selected early- and late-competence genes shown </w:t>
      </w:r>
      <w:r w:rsidRPr="007851B5">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dotv7l329","properties":{"formattedCitation":"[3,4]","plainCitation":"[3,4]"},"citationItems":[{"id":821,"uris":["http://zotero.org/users/1212538/items/WMDBS5K8"],"uri":["http://zotero.org/users/1212538/items/WMDBS5K8"],"itemData":{"id":821,"type":"article-journal","title":"Interconnection of competence, stress and CiaR regulons in &lt;i&gt;Streptococcus pneumoniae&lt;/i&gt;: competence triggers stationary phase autolysis of &lt;i&gt;ciaR&lt;/i&gt; mutant cells","container-title":"Molecular Microbiology","page":"1071-1086","volume":"51","issue":"4","source":"Wiley Online Library","abstract":"Of the 13 two-component signal transduction systems (TCS) identified in Streptococcus pneumoniae, two, ComDE and CiaRH, are known to affect competence for natural genetic transformation.  ComD and ComE act together with the comC-encoded competence-stimulating peptide (CSP) and with ComAB, the CSP-dedicated exporter, to co-ordinate activation of genes required for differentiation to competence. Several lines of evidence suggest that the CiaRH TCS and competence regulation are interconnected, including the observation that inactivation of the CiaR response regulator derepresses competence. However, the nature of the interconnection remains poorly understood. Interpretation of previous transcriptome analyses of ciaR mutants was complicated by competence derepression in the mutants. To circumvent this problem, we have used microarray analysis to investigate the transition from non-competence to competence in a comC-null wild-type strain and its ciaR derivative after the addition of CSP. This study increased the number of known CSP-induced genes from ≈ 47 to 105 and revealed ≈ 42 genes with reduced expression in competent cells. Induction of the CiaR regulon, as well as the entire HrcA and part of the CtsR stress response regulons, was observed in wild-type competent cells. Enhanced induction of stress response genes was detected in ciaR competent cells. In line with these observations, CSP was demonstrated to trigger growth arrest and stationary phase autolysis in ciaR cells. Taken together, these data strongly suggest that differentiation to competence imposes a temporary stress on cells, and that the CiaRH TCS is required for the cells to exit normally from the competent state.","DOI":"10.1111/j.1365-2958.2003.03892.x","ISSN":"1365-2958","shortTitle":"Interconnection of competence, stress and CiaR regulons in Streptococcus pneumoniae","journalAbbreviation":"Mol Microbiol","language":"en","author":[{"family":"Dagkessamanskaia","given":"Adilia"},{"family":"Moscoso","given":"Miriam"},{"family":"Hénard","given":"Vincent"},{"family":"Guiral","given":"Sébastien"},{"family":"Overweg","given":"Karin"},{"family":"Reuter","given":"Mark"},{"family":"Martin","given":"Bernard"},{"family":"Wells","given":"Jerry"},{"family":"Claverys","given":"Jean-Pierre"}],"issued":{"date-parts":[["2004",2,1]]}}},{"id":908,"uris":["http://zotero.org/users/1212538/items/RE64ABQN"],"uri":["http://zotero.org/users/1212538/items/RE64ABQN"],"itemData":{"id":908,"type":"article-journal","title":"Identification of competence pheromone responsive genes in &lt;i&gt;Streptococcus pneumoniae&lt;/i&gt; by use of DNA microarrays","container-title":"Molecular Microbiology","page":"1051-1070","volume":"51","issue":"4","source":"PubMed","abstract":"Natural genetic transformation in Streptococcus pneumoniae is controlled in part by a quorum-sensing system mediated by a peptide pheromone called competence-stimulating peptide (CSP), which acts to coordinate transient activation of genes required for competence. To characterize the transcriptional response and regulatory events occurring when cells are exposed to competence pheromone, we constructed DNA microarrays and analysed the temporal expression profiles of 1817 among the 2129 unique predicted open reading frames present in the S. pneumoniae TIGR4 genome (84%). After CSP stimulation, responsive genes exhibited four temporally distinct expression profiles: early, late and delayed gene induction, and gene repression. At least eight early genes participate in competence regulation including comX, which encodes an alternative sigma factor. Late genes were dependent on ComX for CSP-induced expression, many playing important roles in transformation. Genes in the delayed class (third temporal wave) appear to be stress related. Genes repressed during the CSP response include ribosomal protein loci and other genes involved in protein synthesis. This study increased the number of identified CSP-responsive genes from approximately 40 to 188. Given the relatively large number of induced genes (6% of the genome), it was of interest to determine which genes provide functions essential to transformation. Many of the induced loci were subjected to gene disruption mutagenesis, allowing us to establish that among 124 CSP-inducible genes, 67 were individually dispensable for transformation, whereas 23 were required for transformation.","DOI":"10.1046/j.1365-2958.2003.03907.x","ISSN":"0950-382X","note":"PMID: 14763980","journalAbbreviation":"Mol. Microbiol.","language":"eng","author":[{"family":"Peterson","given":"Scott N."},{"family":"Sung","given":"Chang Kyoo"},{"family":"Cline","given":"Robin"},{"family":"Desai","given":"Bhushan V."},{"family":"Snesrud","given":"Erik C."},{"family":"Luo","given":"Ping"},{"family":"Walling","given":"Jennifer"},{"family":"Li","given":"Haiying"},{"family":"Mintz","given":"Michelle"},{"family":"Tsegaye","given":"Getahun"},{"family":"Burr","given":"Patrick C."},{"family":"Do","given":"Yu"},{"family":"Ahn","given":"Susie"},{"family":"Gilbert","given":"Joseph"},{"family":"Fleischmann","given":"Robert D."},{"family":"Morrison","given":"Donald A."}],"issued":{"date-parts":[["2004",2]]},"PMID":"14763980"}}],"schema":"https://github.com/citation-style-language/schema/raw/master/csl-citation.json"} </w:instrText>
      </w:r>
      <w:r w:rsidRPr="007851B5">
        <w:rPr>
          <w:rFonts w:ascii="Times New Roman" w:hAnsi="Times New Roman" w:cs="Times New Roman"/>
          <w:sz w:val="16"/>
          <w:szCs w:val="16"/>
          <w:lang w:val="en-US"/>
        </w:rPr>
        <w:fldChar w:fldCharType="separate"/>
      </w:r>
      <w:r w:rsidRPr="002B5498">
        <w:rPr>
          <w:rFonts w:ascii="Times New Roman" w:hAnsi="Times New Roman" w:cs="Times New Roman"/>
          <w:sz w:val="16"/>
        </w:rPr>
        <w:t>[3,4]</w:t>
      </w:r>
      <w:r w:rsidRPr="007851B5">
        <w:rPr>
          <w:rFonts w:ascii="Times New Roman" w:hAnsi="Times New Roman" w:cs="Times New Roman"/>
          <w:sz w:val="16"/>
          <w:szCs w:val="16"/>
          <w:lang w:val="en-US"/>
        </w:rPr>
        <w:fldChar w:fldCharType="end"/>
      </w:r>
      <w:r>
        <w:rPr>
          <w:rFonts w:ascii="Times New Roman" w:hAnsi="Times New Roman" w:cs="Times New Roman"/>
          <w:sz w:val="16"/>
          <w:szCs w:val="16"/>
          <w:lang w:val="en-US"/>
        </w:rPr>
        <w:t>.</w:t>
      </w:r>
    </w:p>
    <w:p w:rsidR="00C31FA7" w:rsidRDefault="00C31FA7" w:rsidP="00C31FA7">
      <w:pPr>
        <w:spacing w:after="0" w:line="240" w:lineRule="auto"/>
        <w:rPr>
          <w:rFonts w:ascii="Times New Roman" w:hAnsi="Times New Roman" w:cs="Times New Roman"/>
          <w:sz w:val="16"/>
          <w:szCs w:val="16"/>
          <w:lang w:val="en-US"/>
        </w:rPr>
      </w:pPr>
    </w:p>
    <w:p w:rsidR="00C31FA7" w:rsidRDefault="00C31FA7" w:rsidP="00C31FA7">
      <w:pPr>
        <w:spacing w:after="0" w:line="240" w:lineRule="auto"/>
        <w:rPr>
          <w:rFonts w:ascii="Times New Roman" w:hAnsi="Times New Roman" w:cs="Times New Roman"/>
          <w:sz w:val="16"/>
          <w:szCs w:val="16"/>
          <w:lang w:val="en-US"/>
        </w:rPr>
      </w:pPr>
    </w:p>
    <w:p w:rsidR="00C31FA7" w:rsidRPr="00C31FA7" w:rsidRDefault="00C31FA7" w:rsidP="00C31FA7">
      <w:pPr>
        <w:spacing w:after="0" w:line="240" w:lineRule="auto"/>
        <w:rPr>
          <w:rFonts w:ascii="Times New Roman" w:hAnsi="Times New Roman" w:cs="Times New Roman"/>
          <w:b/>
          <w:sz w:val="20"/>
          <w:szCs w:val="20"/>
          <w:lang w:val="en-US"/>
        </w:rPr>
      </w:pPr>
      <w:r w:rsidRPr="00C31FA7">
        <w:rPr>
          <w:rFonts w:ascii="Times New Roman" w:hAnsi="Times New Roman" w:cs="Times New Roman"/>
          <w:b/>
          <w:sz w:val="20"/>
          <w:szCs w:val="20"/>
          <w:lang w:val="en-US"/>
        </w:rPr>
        <w:t>References</w:t>
      </w:r>
    </w:p>
    <w:p w:rsidR="00C31FA7" w:rsidRDefault="00C31FA7" w:rsidP="00C31FA7">
      <w:pPr>
        <w:spacing w:after="0" w:line="240" w:lineRule="auto"/>
        <w:rPr>
          <w:rFonts w:ascii="Times New Roman" w:hAnsi="Times New Roman" w:cs="Times New Roman"/>
          <w:sz w:val="16"/>
          <w:szCs w:val="16"/>
          <w:lang w:val="en-US"/>
        </w:rPr>
      </w:pPr>
    </w:p>
    <w:p w:rsidR="00C31FA7" w:rsidRPr="00C31FA7" w:rsidRDefault="00C31FA7" w:rsidP="00C31FA7">
      <w:pPr>
        <w:pStyle w:val="Bibliography"/>
        <w:spacing w:after="0"/>
        <w:rPr>
          <w:rFonts w:ascii="Times New Roman" w:hAnsi="Times New Roman" w:cs="Times New Roman"/>
          <w:sz w:val="16"/>
          <w:szCs w:val="16"/>
        </w:rPr>
      </w:pPr>
      <w:r w:rsidRPr="00C31FA7">
        <w:rPr>
          <w:sz w:val="16"/>
          <w:szCs w:val="16"/>
          <w:lang w:val="en-US"/>
        </w:rPr>
        <w:fldChar w:fldCharType="begin"/>
      </w:r>
      <w:r w:rsidRPr="00C31FA7">
        <w:rPr>
          <w:sz w:val="16"/>
          <w:szCs w:val="16"/>
        </w:rPr>
        <w:instrText xml:space="preserve"> ADDIN ZOTERO_BIBL {"custom":[]} CSL_BIBLIOGRAPHY </w:instrText>
      </w:r>
      <w:r w:rsidRPr="00C31FA7">
        <w:rPr>
          <w:sz w:val="16"/>
          <w:szCs w:val="16"/>
          <w:lang w:val="en-US"/>
        </w:rPr>
        <w:fldChar w:fldCharType="separate"/>
      </w:r>
      <w:r w:rsidRPr="00C31FA7">
        <w:rPr>
          <w:rFonts w:ascii="Times New Roman" w:hAnsi="Times New Roman" w:cs="Times New Roman"/>
          <w:sz w:val="16"/>
          <w:szCs w:val="16"/>
        </w:rPr>
        <w:t xml:space="preserve">1. </w:t>
      </w:r>
      <w:r w:rsidRPr="00C31FA7">
        <w:rPr>
          <w:rFonts w:ascii="Times New Roman" w:hAnsi="Times New Roman" w:cs="Times New Roman"/>
          <w:sz w:val="16"/>
          <w:szCs w:val="16"/>
        </w:rPr>
        <w:tab/>
        <w:t xml:space="preserve">Slager J, </w:t>
      </w:r>
      <w:proofErr w:type="spellStart"/>
      <w:r w:rsidRPr="00C31FA7">
        <w:rPr>
          <w:rFonts w:ascii="Times New Roman" w:hAnsi="Times New Roman" w:cs="Times New Roman"/>
          <w:sz w:val="16"/>
          <w:szCs w:val="16"/>
        </w:rPr>
        <w:t>Kjos</w:t>
      </w:r>
      <w:proofErr w:type="spellEnd"/>
      <w:r w:rsidRPr="00C31FA7">
        <w:rPr>
          <w:rFonts w:ascii="Times New Roman" w:hAnsi="Times New Roman" w:cs="Times New Roman"/>
          <w:sz w:val="16"/>
          <w:szCs w:val="16"/>
        </w:rPr>
        <w:t xml:space="preserve"> M, </w:t>
      </w:r>
      <w:proofErr w:type="spellStart"/>
      <w:r w:rsidRPr="00C31FA7">
        <w:rPr>
          <w:rFonts w:ascii="Times New Roman" w:hAnsi="Times New Roman" w:cs="Times New Roman"/>
          <w:sz w:val="16"/>
          <w:szCs w:val="16"/>
        </w:rPr>
        <w:t>Attaiech</w:t>
      </w:r>
      <w:proofErr w:type="spellEnd"/>
      <w:r w:rsidRPr="00C31FA7">
        <w:rPr>
          <w:rFonts w:ascii="Times New Roman" w:hAnsi="Times New Roman" w:cs="Times New Roman"/>
          <w:sz w:val="16"/>
          <w:szCs w:val="16"/>
        </w:rPr>
        <w:t xml:space="preserve"> L, </w:t>
      </w:r>
      <w:proofErr w:type="spellStart"/>
      <w:r w:rsidRPr="00C31FA7">
        <w:rPr>
          <w:rFonts w:ascii="Times New Roman" w:hAnsi="Times New Roman" w:cs="Times New Roman"/>
          <w:sz w:val="16"/>
          <w:szCs w:val="16"/>
        </w:rPr>
        <w:t>Veening</w:t>
      </w:r>
      <w:proofErr w:type="spellEnd"/>
      <w:r w:rsidRPr="00C31FA7">
        <w:rPr>
          <w:rFonts w:ascii="Times New Roman" w:hAnsi="Times New Roman" w:cs="Times New Roman"/>
          <w:sz w:val="16"/>
          <w:szCs w:val="16"/>
        </w:rPr>
        <w:t xml:space="preserve"> J-W. </w:t>
      </w:r>
      <w:r w:rsidRPr="00C31FA7">
        <w:rPr>
          <w:rFonts w:ascii="Times New Roman" w:hAnsi="Times New Roman" w:cs="Times New Roman"/>
          <w:sz w:val="16"/>
          <w:szCs w:val="16"/>
          <w:lang w:val="en-GB"/>
        </w:rPr>
        <w:t xml:space="preserve">Antibiotic-induced replication stress triggers bacterial competence by increasing gene dosage near the origin. </w:t>
      </w:r>
      <w:proofErr w:type="spellStart"/>
      <w:r w:rsidRPr="00C31FA7">
        <w:rPr>
          <w:rFonts w:ascii="Times New Roman" w:hAnsi="Times New Roman" w:cs="Times New Roman"/>
          <w:sz w:val="16"/>
          <w:szCs w:val="16"/>
        </w:rPr>
        <w:t>Cell</w:t>
      </w:r>
      <w:proofErr w:type="spellEnd"/>
      <w:r w:rsidRPr="00C31FA7">
        <w:rPr>
          <w:rFonts w:ascii="Times New Roman" w:hAnsi="Times New Roman" w:cs="Times New Roman"/>
          <w:sz w:val="16"/>
          <w:szCs w:val="16"/>
        </w:rPr>
        <w:t>. 2014;157: 395–406. doi:10.1016/j.cell.2014.01.068</w:t>
      </w:r>
    </w:p>
    <w:p w:rsidR="00C31FA7" w:rsidRPr="00C31FA7" w:rsidRDefault="00C31FA7" w:rsidP="00C31FA7">
      <w:pPr>
        <w:pStyle w:val="Bibliography"/>
        <w:spacing w:after="0"/>
        <w:rPr>
          <w:rFonts w:ascii="Times New Roman" w:hAnsi="Times New Roman" w:cs="Times New Roman"/>
          <w:sz w:val="16"/>
          <w:szCs w:val="16"/>
          <w:lang w:val="en-GB"/>
        </w:rPr>
      </w:pPr>
      <w:r w:rsidRPr="00C31FA7">
        <w:rPr>
          <w:rFonts w:ascii="Times New Roman" w:hAnsi="Times New Roman" w:cs="Times New Roman"/>
          <w:sz w:val="16"/>
          <w:szCs w:val="16"/>
        </w:rPr>
        <w:t xml:space="preserve">2. </w:t>
      </w:r>
      <w:r w:rsidRPr="00C31FA7">
        <w:rPr>
          <w:rFonts w:ascii="Times New Roman" w:hAnsi="Times New Roman" w:cs="Times New Roman"/>
          <w:sz w:val="16"/>
          <w:szCs w:val="16"/>
        </w:rPr>
        <w:tab/>
      </w:r>
      <w:proofErr w:type="spellStart"/>
      <w:r w:rsidRPr="00C31FA7">
        <w:rPr>
          <w:rFonts w:ascii="Times New Roman" w:hAnsi="Times New Roman" w:cs="Times New Roman"/>
          <w:sz w:val="16"/>
          <w:szCs w:val="16"/>
        </w:rPr>
        <w:t>Bogaardt</w:t>
      </w:r>
      <w:proofErr w:type="spellEnd"/>
      <w:r w:rsidRPr="00C31FA7">
        <w:rPr>
          <w:rFonts w:ascii="Times New Roman" w:hAnsi="Times New Roman" w:cs="Times New Roman"/>
          <w:sz w:val="16"/>
          <w:szCs w:val="16"/>
        </w:rPr>
        <w:t xml:space="preserve"> C, Tonder AJ van, </w:t>
      </w:r>
      <w:proofErr w:type="spellStart"/>
      <w:r w:rsidRPr="00C31FA7">
        <w:rPr>
          <w:rFonts w:ascii="Times New Roman" w:hAnsi="Times New Roman" w:cs="Times New Roman"/>
          <w:sz w:val="16"/>
          <w:szCs w:val="16"/>
        </w:rPr>
        <w:t>Brueggemann</w:t>
      </w:r>
      <w:proofErr w:type="spellEnd"/>
      <w:r w:rsidRPr="00C31FA7">
        <w:rPr>
          <w:rFonts w:ascii="Times New Roman" w:hAnsi="Times New Roman" w:cs="Times New Roman"/>
          <w:sz w:val="16"/>
          <w:szCs w:val="16"/>
        </w:rPr>
        <w:t xml:space="preserve"> AB. </w:t>
      </w:r>
      <w:r w:rsidRPr="00C31FA7">
        <w:rPr>
          <w:rFonts w:ascii="Times New Roman" w:hAnsi="Times New Roman" w:cs="Times New Roman"/>
          <w:sz w:val="16"/>
          <w:szCs w:val="16"/>
          <w:lang w:val="en-GB"/>
        </w:rPr>
        <w:t xml:space="preserve">Genomic analyses of pneumococci reveal a wide diversity of </w:t>
      </w:r>
      <w:proofErr w:type="spellStart"/>
      <w:r w:rsidRPr="00C31FA7">
        <w:rPr>
          <w:rFonts w:ascii="Times New Roman" w:hAnsi="Times New Roman" w:cs="Times New Roman"/>
          <w:sz w:val="16"/>
          <w:szCs w:val="16"/>
          <w:lang w:val="en-GB"/>
        </w:rPr>
        <w:t>bacteriocins</w:t>
      </w:r>
      <w:proofErr w:type="spellEnd"/>
      <w:r w:rsidRPr="00C31FA7">
        <w:rPr>
          <w:rFonts w:ascii="Times New Roman" w:hAnsi="Times New Roman" w:cs="Times New Roman"/>
          <w:sz w:val="16"/>
          <w:szCs w:val="16"/>
          <w:lang w:val="en-GB"/>
        </w:rPr>
        <w:t xml:space="preserve"> – including </w:t>
      </w:r>
      <w:proofErr w:type="spellStart"/>
      <w:r w:rsidRPr="00C31FA7">
        <w:rPr>
          <w:rFonts w:ascii="Times New Roman" w:hAnsi="Times New Roman" w:cs="Times New Roman"/>
          <w:sz w:val="16"/>
          <w:szCs w:val="16"/>
          <w:lang w:val="en-GB"/>
        </w:rPr>
        <w:t>pneumocyclicin</w:t>
      </w:r>
      <w:proofErr w:type="spellEnd"/>
      <w:r w:rsidRPr="00C31FA7">
        <w:rPr>
          <w:rFonts w:ascii="Times New Roman" w:hAnsi="Times New Roman" w:cs="Times New Roman"/>
          <w:sz w:val="16"/>
          <w:szCs w:val="16"/>
          <w:lang w:val="en-GB"/>
        </w:rPr>
        <w:t xml:space="preserve">, a novel circular </w:t>
      </w:r>
      <w:proofErr w:type="spellStart"/>
      <w:r w:rsidRPr="00C31FA7">
        <w:rPr>
          <w:rFonts w:ascii="Times New Roman" w:hAnsi="Times New Roman" w:cs="Times New Roman"/>
          <w:sz w:val="16"/>
          <w:szCs w:val="16"/>
          <w:lang w:val="en-GB"/>
        </w:rPr>
        <w:t>bacteriocin</w:t>
      </w:r>
      <w:proofErr w:type="spellEnd"/>
      <w:r w:rsidRPr="00C31FA7">
        <w:rPr>
          <w:rFonts w:ascii="Times New Roman" w:hAnsi="Times New Roman" w:cs="Times New Roman"/>
          <w:sz w:val="16"/>
          <w:szCs w:val="16"/>
          <w:lang w:val="en-GB"/>
        </w:rPr>
        <w:t>. BMC Genomics. 2015;16: 554. doi:10.1186/s12864-015-1729-4</w:t>
      </w:r>
    </w:p>
    <w:p w:rsidR="00C31FA7" w:rsidRPr="00C31FA7" w:rsidRDefault="00C31FA7" w:rsidP="00C31FA7">
      <w:pPr>
        <w:pStyle w:val="Bibliography"/>
        <w:spacing w:after="0"/>
        <w:rPr>
          <w:rFonts w:ascii="Times New Roman" w:hAnsi="Times New Roman" w:cs="Times New Roman"/>
          <w:sz w:val="16"/>
          <w:szCs w:val="16"/>
          <w:lang w:val="en-GB"/>
        </w:rPr>
      </w:pPr>
      <w:r w:rsidRPr="00C31FA7">
        <w:rPr>
          <w:rFonts w:ascii="Times New Roman" w:hAnsi="Times New Roman" w:cs="Times New Roman"/>
          <w:sz w:val="16"/>
          <w:szCs w:val="16"/>
          <w:lang w:val="en-GB"/>
        </w:rPr>
        <w:t xml:space="preserve">3. </w:t>
      </w:r>
      <w:r w:rsidRPr="00C31FA7">
        <w:rPr>
          <w:rFonts w:ascii="Times New Roman" w:hAnsi="Times New Roman" w:cs="Times New Roman"/>
          <w:sz w:val="16"/>
          <w:szCs w:val="16"/>
          <w:lang w:val="en-GB"/>
        </w:rPr>
        <w:tab/>
      </w:r>
      <w:proofErr w:type="spellStart"/>
      <w:r w:rsidRPr="00C31FA7">
        <w:rPr>
          <w:rFonts w:ascii="Times New Roman" w:hAnsi="Times New Roman" w:cs="Times New Roman"/>
          <w:sz w:val="16"/>
          <w:szCs w:val="16"/>
          <w:lang w:val="en-GB"/>
        </w:rPr>
        <w:t>Dagkessamanskaia</w:t>
      </w:r>
      <w:proofErr w:type="spellEnd"/>
      <w:r w:rsidRPr="00C31FA7">
        <w:rPr>
          <w:rFonts w:ascii="Times New Roman" w:hAnsi="Times New Roman" w:cs="Times New Roman"/>
          <w:sz w:val="16"/>
          <w:szCs w:val="16"/>
          <w:lang w:val="en-GB"/>
        </w:rPr>
        <w:t xml:space="preserve"> A, </w:t>
      </w:r>
      <w:proofErr w:type="spellStart"/>
      <w:r w:rsidRPr="00C31FA7">
        <w:rPr>
          <w:rFonts w:ascii="Times New Roman" w:hAnsi="Times New Roman" w:cs="Times New Roman"/>
          <w:sz w:val="16"/>
          <w:szCs w:val="16"/>
          <w:lang w:val="en-GB"/>
        </w:rPr>
        <w:t>Moscoso</w:t>
      </w:r>
      <w:proofErr w:type="spellEnd"/>
      <w:r w:rsidRPr="00C31FA7">
        <w:rPr>
          <w:rFonts w:ascii="Times New Roman" w:hAnsi="Times New Roman" w:cs="Times New Roman"/>
          <w:sz w:val="16"/>
          <w:szCs w:val="16"/>
          <w:lang w:val="en-GB"/>
        </w:rPr>
        <w:t xml:space="preserve"> M, </w:t>
      </w:r>
      <w:proofErr w:type="spellStart"/>
      <w:r w:rsidRPr="00C31FA7">
        <w:rPr>
          <w:rFonts w:ascii="Times New Roman" w:hAnsi="Times New Roman" w:cs="Times New Roman"/>
          <w:sz w:val="16"/>
          <w:szCs w:val="16"/>
          <w:lang w:val="en-GB"/>
        </w:rPr>
        <w:t>Hénard</w:t>
      </w:r>
      <w:proofErr w:type="spellEnd"/>
      <w:r w:rsidRPr="00C31FA7">
        <w:rPr>
          <w:rFonts w:ascii="Times New Roman" w:hAnsi="Times New Roman" w:cs="Times New Roman"/>
          <w:sz w:val="16"/>
          <w:szCs w:val="16"/>
          <w:lang w:val="en-GB"/>
        </w:rPr>
        <w:t xml:space="preserve"> V, </w:t>
      </w:r>
      <w:proofErr w:type="spellStart"/>
      <w:r w:rsidRPr="00C31FA7">
        <w:rPr>
          <w:rFonts w:ascii="Times New Roman" w:hAnsi="Times New Roman" w:cs="Times New Roman"/>
          <w:sz w:val="16"/>
          <w:szCs w:val="16"/>
          <w:lang w:val="en-GB"/>
        </w:rPr>
        <w:t>Guiral</w:t>
      </w:r>
      <w:proofErr w:type="spellEnd"/>
      <w:r w:rsidRPr="00C31FA7">
        <w:rPr>
          <w:rFonts w:ascii="Times New Roman" w:hAnsi="Times New Roman" w:cs="Times New Roman"/>
          <w:sz w:val="16"/>
          <w:szCs w:val="16"/>
          <w:lang w:val="en-GB"/>
        </w:rPr>
        <w:t xml:space="preserve"> S, </w:t>
      </w:r>
      <w:proofErr w:type="spellStart"/>
      <w:r w:rsidRPr="00C31FA7">
        <w:rPr>
          <w:rFonts w:ascii="Times New Roman" w:hAnsi="Times New Roman" w:cs="Times New Roman"/>
          <w:sz w:val="16"/>
          <w:szCs w:val="16"/>
          <w:lang w:val="en-GB"/>
        </w:rPr>
        <w:t>Overweg</w:t>
      </w:r>
      <w:proofErr w:type="spellEnd"/>
      <w:r w:rsidRPr="00C31FA7">
        <w:rPr>
          <w:rFonts w:ascii="Times New Roman" w:hAnsi="Times New Roman" w:cs="Times New Roman"/>
          <w:sz w:val="16"/>
          <w:szCs w:val="16"/>
          <w:lang w:val="en-GB"/>
        </w:rPr>
        <w:t xml:space="preserve"> K, Reuter M, et al. Interconnection of competence, stress and </w:t>
      </w:r>
      <w:proofErr w:type="spellStart"/>
      <w:r w:rsidRPr="00C31FA7">
        <w:rPr>
          <w:rFonts w:ascii="Times New Roman" w:hAnsi="Times New Roman" w:cs="Times New Roman"/>
          <w:sz w:val="16"/>
          <w:szCs w:val="16"/>
          <w:lang w:val="en-GB"/>
        </w:rPr>
        <w:t>CiaR</w:t>
      </w:r>
      <w:proofErr w:type="spellEnd"/>
      <w:r w:rsidRPr="00C31FA7">
        <w:rPr>
          <w:rFonts w:ascii="Times New Roman" w:hAnsi="Times New Roman" w:cs="Times New Roman"/>
          <w:sz w:val="16"/>
          <w:szCs w:val="16"/>
          <w:lang w:val="en-GB"/>
        </w:rPr>
        <w:t xml:space="preserve"> regulons in </w:t>
      </w:r>
      <w:r w:rsidRPr="00C31FA7">
        <w:rPr>
          <w:rFonts w:ascii="Times New Roman" w:hAnsi="Times New Roman" w:cs="Times New Roman"/>
          <w:i/>
          <w:iCs/>
          <w:sz w:val="16"/>
          <w:szCs w:val="16"/>
          <w:lang w:val="en-GB"/>
        </w:rPr>
        <w:t>Streptococcus pneumoniae</w:t>
      </w:r>
      <w:r w:rsidRPr="00C31FA7">
        <w:rPr>
          <w:rFonts w:ascii="Times New Roman" w:hAnsi="Times New Roman" w:cs="Times New Roman"/>
          <w:sz w:val="16"/>
          <w:szCs w:val="16"/>
          <w:lang w:val="en-GB"/>
        </w:rPr>
        <w:t xml:space="preserve">: competence triggers stationary phase autolysis of </w:t>
      </w:r>
      <w:proofErr w:type="spellStart"/>
      <w:r w:rsidRPr="00C31FA7">
        <w:rPr>
          <w:rFonts w:ascii="Times New Roman" w:hAnsi="Times New Roman" w:cs="Times New Roman"/>
          <w:i/>
          <w:iCs/>
          <w:sz w:val="16"/>
          <w:szCs w:val="16"/>
          <w:lang w:val="en-GB"/>
        </w:rPr>
        <w:t>ciaR</w:t>
      </w:r>
      <w:proofErr w:type="spellEnd"/>
      <w:r w:rsidRPr="00C31FA7">
        <w:rPr>
          <w:rFonts w:ascii="Times New Roman" w:hAnsi="Times New Roman" w:cs="Times New Roman"/>
          <w:sz w:val="16"/>
          <w:szCs w:val="16"/>
          <w:lang w:val="en-GB"/>
        </w:rPr>
        <w:t xml:space="preserve"> mutant cells. </w:t>
      </w:r>
      <w:proofErr w:type="spellStart"/>
      <w:r w:rsidRPr="00C31FA7">
        <w:rPr>
          <w:rFonts w:ascii="Times New Roman" w:hAnsi="Times New Roman" w:cs="Times New Roman"/>
          <w:sz w:val="16"/>
          <w:szCs w:val="16"/>
          <w:lang w:val="en-GB"/>
        </w:rPr>
        <w:t>Mol</w:t>
      </w:r>
      <w:proofErr w:type="spellEnd"/>
      <w:r w:rsidRPr="00C31FA7">
        <w:rPr>
          <w:rFonts w:ascii="Times New Roman" w:hAnsi="Times New Roman" w:cs="Times New Roman"/>
          <w:sz w:val="16"/>
          <w:szCs w:val="16"/>
          <w:lang w:val="en-GB"/>
        </w:rPr>
        <w:t xml:space="preserve"> </w:t>
      </w:r>
      <w:proofErr w:type="spellStart"/>
      <w:r w:rsidRPr="00C31FA7">
        <w:rPr>
          <w:rFonts w:ascii="Times New Roman" w:hAnsi="Times New Roman" w:cs="Times New Roman"/>
          <w:sz w:val="16"/>
          <w:szCs w:val="16"/>
          <w:lang w:val="en-GB"/>
        </w:rPr>
        <w:t>Microbiol</w:t>
      </w:r>
      <w:proofErr w:type="spellEnd"/>
      <w:r w:rsidRPr="00C31FA7">
        <w:rPr>
          <w:rFonts w:ascii="Times New Roman" w:hAnsi="Times New Roman" w:cs="Times New Roman"/>
          <w:sz w:val="16"/>
          <w:szCs w:val="16"/>
          <w:lang w:val="en-GB"/>
        </w:rPr>
        <w:t>. 2004;51: 1071–1086. doi:10.1111/j.1365-2958.2003.03892.x</w:t>
      </w:r>
    </w:p>
    <w:p w:rsidR="00C31FA7" w:rsidRPr="00C31FA7" w:rsidRDefault="00C31FA7" w:rsidP="00C31FA7">
      <w:pPr>
        <w:pStyle w:val="Bibliography"/>
        <w:spacing w:after="0"/>
        <w:rPr>
          <w:rFonts w:ascii="Times New Roman" w:hAnsi="Times New Roman" w:cs="Times New Roman"/>
          <w:sz w:val="16"/>
          <w:szCs w:val="16"/>
        </w:rPr>
      </w:pPr>
      <w:r w:rsidRPr="00C31FA7">
        <w:rPr>
          <w:rFonts w:ascii="Times New Roman" w:hAnsi="Times New Roman" w:cs="Times New Roman"/>
          <w:sz w:val="16"/>
          <w:szCs w:val="16"/>
          <w:lang w:val="en-GB"/>
        </w:rPr>
        <w:t xml:space="preserve">4. </w:t>
      </w:r>
      <w:r w:rsidRPr="00C31FA7">
        <w:rPr>
          <w:rFonts w:ascii="Times New Roman" w:hAnsi="Times New Roman" w:cs="Times New Roman"/>
          <w:sz w:val="16"/>
          <w:szCs w:val="16"/>
          <w:lang w:val="en-GB"/>
        </w:rPr>
        <w:tab/>
        <w:t xml:space="preserve">Peterson SN, Sung CK, Cline R, Desai BV, </w:t>
      </w:r>
      <w:proofErr w:type="spellStart"/>
      <w:r w:rsidRPr="00C31FA7">
        <w:rPr>
          <w:rFonts w:ascii="Times New Roman" w:hAnsi="Times New Roman" w:cs="Times New Roman"/>
          <w:sz w:val="16"/>
          <w:szCs w:val="16"/>
          <w:lang w:val="en-GB"/>
        </w:rPr>
        <w:t>Snesrud</w:t>
      </w:r>
      <w:proofErr w:type="spellEnd"/>
      <w:r w:rsidRPr="00C31FA7">
        <w:rPr>
          <w:rFonts w:ascii="Times New Roman" w:hAnsi="Times New Roman" w:cs="Times New Roman"/>
          <w:sz w:val="16"/>
          <w:szCs w:val="16"/>
          <w:lang w:val="en-GB"/>
        </w:rPr>
        <w:t xml:space="preserve"> EC, Luo P, et al. Identification of competence pheromone responsive genes in </w:t>
      </w:r>
      <w:r w:rsidRPr="00C31FA7">
        <w:rPr>
          <w:rFonts w:ascii="Times New Roman" w:hAnsi="Times New Roman" w:cs="Times New Roman"/>
          <w:i/>
          <w:iCs/>
          <w:sz w:val="16"/>
          <w:szCs w:val="16"/>
          <w:lang w:val="en-GB"/>
        </w:rPr>
        <w:t>Streptococcus pneumoniae</w:t>
      </w:r>
      <w:r w:rsidRPr="00C31FA7">
        <w:rPr>
          <w:rFonts w:ascii="Times New Roman" w:hAnsi="Times New Roman" w:cs="Times New Roman"/>
          <w:sz w:val="16"/>
          <w:szCs w:val="16"/>
          <w:lang w:val="en-GB"/>
        </w:rPr>
        <w:t xml:space="preserve"> by use of DNA microarrays. </w:t>
      </w:r>
      <w:r w:rsidRPr="00C31FA7">
        <w:rPr>
          <w:rFonts w:ascii="Times New Roman" w:hAnsi="Times New Roman" w:cs="Times New Roman"/>
          <w:sz w:val="16"/>
          <w:szCs w:val="16"/>
        </w:rPr>
        <w:t xml:space="preserve">Mol </w:t>
      </w:r>
      <w:proofErr w:type="spellStart"/>
      <w:r w:rsidRPr="00C31FA7">
        <w:rPr>
          <w:rFonts w:ascii="Times New Roman" w:hAnsi="Times New Roman" w:cs="Times New Roman"/>
          <w:sz w:val="16"/>
          <w:szCs w:val="16"/>
        </w:rPr>
        <w:t>Microbiol</w:t>
      </w:r>
      <w:proofErr w:type="spellEnd"/>
      <w:r w:rsidRPr="00C31FA7">
        <w:rPr>
          <w:rFonts w:ascii="Times New Roman" w:hAnsi="Times New Roman" w:cs="Times New Roman"/>
          <w:sz w:val="16"/>
          <w:szCs w:val="16"/>
        </w:rPr>
        <w:t>. 2004;51: 1051–1070. doi:10.1046/j.1365-2958.2003.03907.x</w:t>
      </w:r>
    </w:p>
    <w:p w:rsidR="00C31FA7" w:rsidRPr="00C31FA7" w:rsidRDefault="00C31FA7" w:rsidP="00C31FA7">
      <w:pPr>
        <w:spacing w:after="0" w:line="240" w:lineRule="auto"/>
        <w:rPr>
          <w:rFonts w:ascii="Times New Roman" w:hAnsi="Times New Roman" w:cs="Times New Roman"/>
          <w:sz w:val="20"/>
          <w:szCs w:val="20"/>
          <w:lang w:val="en-US"/>
        </w:rPr>
      </w:pPr>
      <w:r w:rsidRPr="00C31FA7">
        <w:rPr>
          <w:rFonts w:ascii="Times New Roman" w:hAnsi="Times New Roman" w:cs="Times New Roman"/>
          <w:sz w:val="16"/>
          <w:szCs w:val="16"/>
          <w:lang w:val="en-US"/>
        </w:rPr>
        <w:fldChar w:fldCharType="end"/>
      </w:r>
      <w:r w:rsidRPr="00C31FA7">
        <w:rPr>
          <w:rFonts w:ascii="Times New Roman" w:hAnsi="Times New Roman" w:cs="Times New Roman"/>
          <w:sz w:val="20"/>
          <w:szCs w:val="20"/>
          <w:lang w:val="en-US"/>
        </w:rPr>
        <w:br w:type="page"/>
      </w:r>
    </w:p>
    <w:p w:rsidR="00C31FA7" w:rsidRDefault="00C31FA7" w:rsidP="00C31FA7">
      <w:pPr>
        <w:rPr>
          <w:rFonts w:ascii="Times New Roman" w:hAnsi="Times New Roman" w:cs="Times New Roman"/>
          <w:b/>
          <w:sz w:val="28"/>
          <w:lang w:val="en-US"/>
        </w:rPr>
      </w:pPr>
      <w:r>
        <w:rPr>
          <w:rFonts w:ascii="Times New Roman" w:hAnsi="Times New Roman" w:cs="Times New Roman"/>
          <w:b/>
          <w:sz w:val="28"/>
          <w:lang w:val="en-US"/>
        </w:rPr>
        <w:lastRenderedPageBreak/>
        <w:br w:type="page"/>
      </w:r>
    </w:p>
    <w:p w:rsidR="00F02B7C" w:rsidRPr="00C31FA7" w:rsidRDefault="00C31FA7">
      <w:pPr>
        <w:rPr>
          <w:lang w:val="en-US"/>
        </w:rPr>
      </w:pPr>
    </w:p>
    <w:sectPr w:rsidR="00F02B7C" w:rsidRPr="00C31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A7"/>
    <w:rsid w:val="00664952"/>
    <w:rsid w:val="00C31FA7"/>
    <w:rsid w:val="00E5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A7"/>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31FA7"/>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A7"/>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31FA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Kjos</dc:creator>
  <cp:lastModifiedBy>M. Kjos</cp:lastModifiedBy>
  <cp:revision>1</cp:revision>
  <dcterms:created xsi:type="dcterms:W3CDTF">2015-11-11T10:40:00Z</dcterms:created>
  <dcterms:modified xsi:type="dcterms:W3CDTF">2015-11-11T10:46:00Z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id="ZIg4YOKL"/&gt;&lt;style id="http://www.zotero.org/styles/plos-pathogens" hasBibliography="1" bibliographyStyleHasBeenSet="1"/&gt;&lt;prefs&gt;&lt;pref name="fieldType" value="Field"/&gt;&lt;pref name="storeReferences"</vt:lpwstr>
  </property>
  <property fmtid="{D5CDD505-2E9C-101B-9397-08002B2CF9AE}" pid="3" name="ZOTERO_PREF_2">
    <vt:lpwstr> value="true"/&gt;&lt;pref name="automaticJournalAbbreviations" value=""/&gt;&lt;pref name="noteType" value=""/&gt;&lt;/prefs&gt;&lt;/data&gt;</vt:lpwstr>
  </property>
</Properties>
</file>