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3E5AA" w14:textId="5895F44E" w:rsidR="00D9242C" w:rsidRPr="003B6FC7" w:rsidRDefault="003B6FC7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</w:rPr>
        <w:t xml:space="preserve">Table S1. </w:t>
      </w:r>
      <w:r>
        <w:rPr>
          <w:rFonts w:ascii="Times New Roman" w:hAnsi="Times New Roman" w:cs="Times New Roman"/>
        </w:rPr>
        <w:t>RNA-</w:t>
      </w:r>
      <w:proofErr w:type="spellStart"/>
      <w:r>
        <w:rPr>
          <w:rFonts w:ascii="Times New Roman" w:hAnsi="Times New Roman" w:cs="Times New Roman"/>
        </w:rPr>
        <w:t>Seq</w:t>
      </w:r>
      <w:proofErr w:type="spellEnd"/>
      <w:r>
        <w:rPr>
          <w:rFonts w:ascii="Times New Roman" w:hAnsi="Times New Roman" w:cs="Times New Roman"/>
        </w:rPr>
        <w:t xml:space="preserve"> Samples</w:t>
      </w:r>
      <w:bookmarkEnd w:id="0"/>
    </w:p>
    <w:tbl>
      <w:tblPr>
        <w:tblStyle w:val="LightShading"/>
        <w:tblW w:w="4698" w:type="dxa"/>
        <w:tblLayout w:type="fixed"/>
        <w:tblLook w:val="0420" w:firstRow="1" w:lastRow="0" w:firstColumn="0" w:lastColumn="0" w:noHBand="0" w:noVBand="1"/>
      </w:tblPr>
      <w:tblGrid>
        <w:gridCol w:w="842"/>
        <w:gridCol w:w="706"/>
        <w:gridCol w:w="720"/>
        <w:gridCol w:w="1170"/>
        <w:gridCol w:w="1260"/>
      </w:tblGrid>
      <w:tr w:rsidR="003B6FC7" w:rsidRPr="00163D09" w14:paraId="67A00828" w14:textId="77777777" w:rsidTr="003B6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842" w:type="dxa"/>
            <w:shd w:val="clear" w:color="auto" w:fill="FFFFFF" w:themeFill="background1"/>
            <w:vAlign w:val="bottom"/>
            <w:hideMark/>
          </w:tcPr>
          <w:p w14:paraId="03EF388E" w14:textId="77777777" w:rsidR="003B6FC7" w:rsidRPr="00163D09" w:rsidRDefault="003B6FC7" w:rsidP="0093667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3D09">
              <w:rPr>
                <w:rFonts w:ascii="Times New Roman" w:hAnsi="Times New Roman" w:cs="Times New Roman"/>
                <w:b w:val="0"/>
                <w:sz w:val="20"/>
                <w:szCs w:val="20"/>
              </w:rPr>
              <w:t>Sample</w:t>
            </w:r>
          </w:p>
        </w:tc>
        <w:tc>
          <w:tcPr>
            <w:tcW w:w="706" w:type="dxa"/>
            <w:shd w:val="clear" w:color="auto" w:fill="FFFFFF" w:themeFill="background1"/>
            <w:vAlign w:val="bottom"/>
          </w:tcPr>
          <w:p w14:paraId="0B594966" w14:textId="011A4C12" w:rsidR="003B6FC7" w:rsidRPr="003B6FC7" w:rsidRDefault="003B6FC7" w:rsidP="0093667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RIN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14:paraId="7B618F2A" w14:textId="68E4F1FA" w:rsidR="003B6FC7" w:rsidRPr="003B6FC7" w:rsidRDefault="003B6FC7" w:rsidP="00936674">
            <w:pPr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Insert Size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68BE388A" w14:textId="77777777" w:rsidR="003B6FC7" w:rsidRDefault="003B6FC7" w:rsidP="0093667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Initial</w:t>
            </w:r>
            <w:r w:rsidRPr="002B1B2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Read Pairs</w:t>
            </w:r>
          </w:p>
        </w:tc>
        <w:tc>
          <w:tcPr>
            <w:tcW w:w="1260" w:type="dxa"/>
            <w:shd w:val="clear" w:color="auto" w:fill="FFFFFF" w:themeFill="background1"/>
            <w:vAlign w:val="bottom"/>
            <w:hideMark/>
          </w:tcPr>
          <w:p w14:paraId="648BF0C1" w14:textId="4AAF910A" w:rsidR="003B6FC7" w:rsidRPr="003B6FC7" w:rsidRDefault="003B6FC7" w:rsidP="0093667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Paired Reads QC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</w:tr>
      <w:tr w:rsidR="003B6FC7" w:rsidRPr="00163D09" w14:paraId="36D3FC07" w14:textId="77777777" w:rsidTr="003B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2" w:type="dxa"/>
            <w:vAlign w:val="center"/>
            <w:hideMark/>
          </w:tcPr>
          <w:p w14:paraId="0165E3E4" w14:textId="38775719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Pr="00163D0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706" w:type="dxa"/>
          </w:tcPr>
          <w:p w14:paraId="3CE450E2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720" w:type="dxa"/>
            <w:vAlign w:val="center"/>
          </w:tcPr>
          <w:p w14:paraId="1DFFCAA4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70" w:type="dxa"/>
            <w:vAlign w:val="bottom"/>
          </w:tcPr>
          <w:p w14:paraId="790DC107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1260" w:type="dxa"/>
            <w:vAlign w:val="center"/>
            <w:hideMark/>
          </w:tcPr>
          <w:p w14:paraId="1FB32660" w14:textId="77777777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</w:t>
            </w:r>
            <w:r w:rsidRPr="003E736E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736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B6FC7" w:rsidRPr="00163D09" w14:paraId="7BB8F61E" w14:textId="77777777" w:rsidTr="003B6FC7">
        <w:tc>
          <w:tcPr>
            <w:tcW w:w="842" w:type="dxa"/>
            <w:vAlign w:val="center"/>
            <w:hideMark/>
          </w:tcPr>
          <w:p w14:paraId="7D78797F" w14:textId="77777777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09">
              <w:rPr>
                <w:rFonts w:ascii="Times New Roman" w:hAnsi="Times New Roman" w:cs="Times New Roman"/>
                <w:sz w:val="20"/>
                <w:szCs w:val="20"/>
              </w:rPr>
              <w:t>MN064</w:t>
            </w:r>
          </w:p>
        </w:tc>
        <w:tc>
          <w:tcPr>
            <w:tcW w:w="706" w:type="dxa"/>
          </w:tcPr>
          <w:p w14:paraId="11D9FEFE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720" w:type="dxa"/>
            <w:vAlign w:val="center"/>
          </w:tcPr>
          <w:p w14:paraId="73180181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170" w:type="dxa"/>
            <w:vAlign w:val="bottom"/>
          </w:tcPr>
          <w:p w14:paraId="7AFEAAA5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vAlign w:val="center"/>
            <w:hideMark/>
          </w:tcPr>
          <w:p w14:paraId="16E574A7" w14:textId="77777777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15 610 </w:t>
            </w:r>
            <w:r w:rsidRPr="003E736E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</w:tr>
      <w:tr w:rsidR="003B6FC7" w:rsidRPr="00163D09" w14:paraId="003AA689" w14:textId="77777777" w:rsidTr="003B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2" w:type="dxa"/>
            <w:vAlign w:val="center"/>
            <w:hideMark/>
          </w:tcPr>
          <w:p w14:paraId="01C6D9BC" w14:textId="77777777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09">
              <w:rPr>
                <w:rFonts w:ascii="Times New Roman" w:hAnsi="Times New Roman" w:cs="Times New Roman"/>
                <w:sz w:val="20"/>
                <w:szCs w:val="20"/>
              </w:rPr>
              <w:t>MN075</w:t>
            </w:r>
          </w:p>
        </w:tc>
        <w:tc>
          <w:tcPr>
            <w:tcW w:w="706" w:type="dxa"/>
          </w:tcPr>
          <w:p w14:paraId="449BA616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20" w:type="dxa"/>
            <w:vAlign w:val="center"/>
          </w:tcPr>
          <w:p w14:paraId="223F7AF4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170" w:type="dxa"/>
            <w:vAlign w:val="bottom"/>
          </w:tcPr>
          <w:p w14:paraId="785CAEC4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260" w:type="dxa"/>
            <w:vAlign w:val="center"/>
            <w:hideMark/>
          </w:tcPr>
          <w:p w14:paraId="16A98406" w14:textId="77777777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15 833 </w:t>
            </w:r>
            <w:r w:rsidRPr="003E736E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</w:tr>
      <w:tr w:rsidR="003B6FC7" w:rsidRPr="00163D09" w14:paraId="551397BC" w14:textId="77777777" w:rsidTr="003B6FC7">
        <w:tc>
          <w:tcPr>
            <w:tcW w:w="842" w:type="dxa"/>
            <w:tcBorders>
              <w:bottom w:val="nil"/>
            </w:tcBorders>
            <w:vAlign w:val="center"/>
            <w:hideMark/>
          </w:tcPr>
          <w:p w14:paraId="65138CC4" w14:textId="77777777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09">
              <w:rPr>
                <w:rFonts w:ascii="Times New Roman" w:hAnsi="Times New Roman" w:cs="Times New Roman"/>
                <w:sz w:val="20"/>
                <w:szCs w:val="20"/>
              </w:rPr>
              <w:t>MN090</w:t>
            </w:r>
          </w:p>
        </w:tc>
        <w:tc>
          <w:tcPr>
            <w:tcW w:w="706" w:type="dxa"/>
            <w:tcBorders>
              <w:bottom w:val="nil"/>
            </w:tcBorders>
          </w:tcPr>
          <w:p w14:paraId="3A0C217B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7E6D5195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42DFC288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260" w:type="dxa"/>
            <w:tcBorders>
              <w:bottom w:val="nil"/>
            </w:tcBorders>
            <w:vAlign w:val="center"/>
            <w:hideMark/>
          </w:tcPr>
          <w:p w14:paraId="1D36A98F" w14:textId="77777777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15 549 </w:t>
            </w:r>
            <w:r w:rsidRPr="003E736E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</w:tr>
      <w:tr w:rsidR="003B6FC7" w:rsidRPr="00163D09" w14:paraId="08948677" w14:textId="77777777" w:rsidTr="003B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BB0D765" w14:textId="77777777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09">
              <w:rPr>
                <w:rFonts w:ascii="Times New Roman" w:hAnsi="Times New Roman" w:cs="Times New Roman"/>
                <w:sz w:val="20"/>
                <w:szCs w:val="20"/>
              </w:rPr>
              <w:t>IL114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14:paraId="7A441E32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2476292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279D3F00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686B32C" w14:textId="77777777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15 092 </w:t>
            </w:r>
            <w:r w:rsidRPr="003E736E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</w:tr>
      <w:tr w:rsidR="003B6FC7" w:rsidRPr="00163D09" w14:paraId="0EDDE0F7" w14:textId="77777777" w:rsidTr="003B6FC7">
        <w:tc>
          <w:tcPr>
            <w:tcW w:w="842" w:type="dxa"/>
            <w:tcBorders>
              <w:top w:val="single" w:sz="4" w:space="0" w:color="auto"/>
            </w:tcBorders>
            <w:vAlign w:val="center"/>
            <w:hideMark/>
          </w:tcPr>
          <w:p w14:paraId="44F730C9" w14:textId="77777777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09">
              <w:rPr>
                <w:rFonts w:ascii="Times New Roman" w:hAnsi="Times New Roman" w:cs="Times New Roman"/>
                <w:sz w:val="20"/>
                <w:szCs w:val="20"/>
              </w:rPr>
              <w:t>KY06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5A1779A4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1A274A0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6060F51D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  <w:hideMark/>
          </w:tcPr>
          <w:p w14:paraId="02A85552" w14:textId="77777777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17 647 </w:t>
            </w:r>
            <w:r w:rsidRPr="003E736E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</w:tr>
      <w:tr w:rsidR="003B6FC7" w:rsidRPr="00163D09" w14:paraId="3D7CB2C5" w14:textId="77777777" w:rsidTr="003B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2" w:type="dxa"/>
            <w:vAlign w:val="center"/>
            <w:hideMark/>
          </w:tcPr>
          <w:p w14:paraId="710C23B8" w14:textId="77777777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09">
              <w:rPr>
                <w:rFonts w:ascii="Times New Roman" w:hAnsi="Times New Roman" w:cs="Times New Roman"/>
                <w:sz w:val="20"/>
                <w:szCs w:val="20"/>
              </w:rPr>
              <w:t>KY07</w:t>
            </w:r>
          </w:p>
        </w:tc>
        <w:tc>
          <w:tcPr>
            <w:tcW w:w="706" w:type="dxa"/>
          </w:tcPr>
          <w:p w14:paraId="79C33F54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720" w:type="dxa"/>
            <w:vAlign w:val="center"/>
          </w:tcPr>
          <w:p w14:paraId="52617286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170" w:type="dxa"/>
            <w:vAlign w:val="bottom"/>
          </w:tcPr>
          <w:p w14:paraId="7F736601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0" w:type="dxa"/>
            <w:vAlign w:val="center"/>
            <w:hideMark/>
          </w:tcPr>
          <w:p w14:paraId="091D20B7" w14:textId="77777777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17 350 </w:t>
            </w:r>
            <w:r w:rsidRPr="003E736E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</w:tr>
      <w:tr w:rsidR="003B6FC7" w:rsidRPr="00163D09" w14:paraId="644A0C30" w14:textId="77777777" w:rsidTr="003B6FC7">
        <w:tc>
          <w:tcPr>
            <w:tcW w:w="842" w:type="dxa"/>
            <w:vAlign w:val="center"/>
            <w:hideMark/>
          </w:tcPr>
          <w:p w14:paraId="73E3026F" w14:textId="77777777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09">
              <w:rPr>
                <w:rFonts w:ascii="Times New Roman" w:hAnsi="Times New Roman" w:cs="Times New Roman"/>
                <w:sz w:val="20"/>
                <w:szCs w:val="20"/>
              </w:rPr>
              <w:t>KY11</w:t>
            </w:r>
          </w:p>
        </w:tc>
        <w:tc>
          <w:tcPr>
            <w:tcW w:w="706" w:type="dxa"/>
          </w:tcPr>
          <w:p w14:paraId="66E1587A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720" w:type="dxa"/>
            <w:vAlign w:val="center"/>
          </w:tcPr>
          <w:p w14:paraId="6E0C3FC5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170" w:type="dxa"/>
            <w:vAlign w:val="bottom"/>
          </w:tcPr>
          <w:p w14:paraId="66F767A5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260" w:type="dxa"/>
            <w:vAlign w:val="center"/>
            <w:hideMark/>
          </w:tcPr>
          <w:p w14:paraId="3C50012E" w14:textId="77777777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17 733 </w:t>
            </w:r>
            <w:r w:rsidRPr="003E736E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</w:tr>
      <w:tr w:rsidR="003B6FC7" w:rsidRPr="00163D09" w14:paraId="4A15696D" w14:textId="77777777" w:rsidTr="003B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2" w:type="dxa"/>
            <w:vAlign w:val="center"/>
            <w:hideMark/>
          </w:tcPr>
          <w:p w14:paraId="07C27C69" w14:textId="77777777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09">
              <w:rPr>
                <w:rFonts w:ascii="Times New Roman" w:hAnsi="Times New Roman" w:cs="Times New Roman"/>
                <w:sz w:val="20"/>
                <w:szCs w:val="20"/>
              </w:rPr>
              <w:t>KY19</w:t>
            </w:r>
          </w:p>
        </w:tc>
        <w:tc>
          <w:tcPr>
            <w:tcW w:w="706" w:type="dxa"/>
          </w:tcPr>
          <w:p w14:paraId="4B2B7BFF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720" w:type="dxa"/>
            <w:vAlign w:val="center"/>
          </w:tcPr>
          <w:p w14:paraId="5E40B3C9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170" w:type="dxa"/>
            <w:vAlign w:val="bottom"/>
          </w:tcPr>
          <w:p w14:paraId="733E112A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260" w:type="dxa"/>
            <w:vAlign w:val="center"/>
            <w:hideMark/>
          </w:tcPr>
          <w:p w14:paraId="2F256EB9" w14:textId="77777777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15 857 </w:t>
            </w:r>
            <w:r w:rsidRPr="003E736E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</w:tr>
      <w:tr w:rsidR="003B6FC7" w:rsidRPr="00163D09" w14:paraId="464E693D" w14:textId="77777777" w:rsidTr="003B6FC7">
        <w:tc>
          <w:tcPr>
            <w:tcW w:w="842" w:type="dxa"/>
            <w:vAlign w:val="center"/>
            <w:hideMark/>
          </w:tcPr>
          <w:p w14:paraId="327A599C" w14:textId="77777777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09">
              <w:rPr>
                <w:rFonts w:ascii="Times New Roman" w:hAnsi="Times New Roman" w:cs="Times New Roman"/>
                <w:sz w:val="20"/>
                <w:szCs w:val="20"/>
              </w:rPr>
              <w:t>KY23</w:t>
            </w:r>
          </w:p>
        </w:tc>
        <w:tc>
          <w:tcPr>
            <w:tcW w:w="706" w:type="dxa"/>
          </w:tcPr>
          <w:p w14:paraId="1ACC7570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720" w:type="dxa"/>
            <w:vAlign w:val="center"/>
          </w:tcPr>
          <w:p w14:paraId="30C21345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170" w:type="dxa"/>
            <w:vAlign w:val="bottom"/>
          </w:tcPr>
          <w:p w14:paraId="2069FFC8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60" w:type="dxa"/>
            <w:vAlign w:val="center"/>
            <w:hideMark/>
          </w:tcPr>
          <w:p w14:paraId="1D865A99" w14:textId="77777777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13 528 </w:t>
            </w:r>
            <w:r w:rsidRPr="003E736E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</w:tr>
      <w:tr w:rsidR="003B6FC7" w:rsidRPr="00163D09" w14:paraId="17BE826F" w14:textId="77777777" w:rsidTr="003B6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2" w:type="dxa"/>
            <w:vAlign w:val="center"/>
            <w:hideMark/>
          </w:tcPr>
          <w:p w14:paraId="492811D7" w14:textId="77777777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09">
              <w:rPr>
                <w:rFonts w:ascii="Times New Roman" w:hAnsi="Times New Roman" w:cs="Times New Roman"/>
                <w:sz w:val="20"/>
                <w:szCs w:val="20"/>
              </w:rPr>
              <w:t>KY39</w:t>
            </w:r>
          </w:p>
        </w:tc>
        <w:tc>
          <w:tcPr>
            <w:tcW w:w="706" w:type="dxa"/>
          </w:tcPr>
          <w:p w14:paraId="2141464A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&gt;7</w:t>
            </w:r>
          </w:p>
        </w:tc>
        <w:tc>
          <w:tcPr>
            <w:tcW w:w="720" w:type="dxa"/>
            <w:vAlign w:val="center"/>
          </w:tcPr>
          <w:p w14:paraId="60324EE9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170" w:type="dxa"/>
            <w:vAlign w:val="bottom"/>
          </w:tcPr>
          <w:p w14:paraId="050A2C2C" w14:textId="77777777" w:rsidR="003B6FC7" w:rsidRPr="003E736E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B2B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  <w:tc>
          <w:tcPr>
            <w:tcW w:w="1260" w:type="dxa"/>
            <w:vAlign w:val="center"/>
            <w:hideMark/>
          </w:tcPr>
          <w:p w14:paraId="724D3A32" w14:textId="77777777" w:rsidR="003B6FC7" w:rsidRPr="00163D09" w:rsidRDefault="003B6FC7" w:rsidP="0093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16 280 </w:t>
            </w:r>
            <w:r w:rsidRPr="003E736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</w:tbl>
    <w:p w14:paraId="2E45CDC3" w14:textId="0D40917E" w:rsidR="003B6FC7" w:rsidRDefault="003B6FC7" w:rsidP="003B6FC7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5F0CC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RNA Integrity Number determined by Agilent </w:t>
      </w:r>
      <w:proofErr w:type="spellStart"/>
      <w:r>
        <w:rPr>
          <w:rFonts w:ascii="Times New Roman" w:hAnsi="Times New Roman" w:cs="Times New Roman"/>
          <w:sz w:val="20"/>
          <w:szCs w:val="20"/>
        </w:rPr>
        <w:t>Bioanalyzer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using a Total RNA Nano chip. “&gt;7” indicates that the automated peak finding software did not accurately identify the 18S and 28S peaks, but that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electropherogram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profile was comparable to other samples with RIN values greater than 7.</w:t>
      </w:r>
    </w:p>
    <w:p w14:paraId="46F38E3A" w14:textId="7CB1C3C0" w:rsidR="003B6FC7" w:rsidRDefault="003B6FC7" w:rsidP="003B6FC7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5F0CC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  <w:t xml:space="preserve">After library prep, Agilent </w:t>
      </w:r>
      <w:proofErr w:type="spellStart"/>
      <w:r>
        <w:rPr>
          <w:rFonts w:ascii="Times New Roman" w:hAnsi="Times New Roman" w:cs="Times New Roman"/>
          <w:sz w:val="20"/>
          <w:szCs w:val="20"/>
        </w:rPr>
        <w:t>Bioanalyzer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was used to measure average insert size of </w:t>
      </w:r>
      <w:proofErr w:type="spellStart"/>
      <w:r>
        <w:rPr>
          <w:rFonts w:ascii="Times New Roman" w:hAnsi="Times New Roman" w:cs="Times New Roman"/>
          <w:sz w:val="20"/>
          <w:szCs w:val="20"/>
        </w:rPr>
        <w:t>cDNA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using a high sensitivity chip.</w:t>
      </w:r>
    </w:p>
    <w:p w14:paraId="4C5C02E0" w14:textId="3EF01C20" w:rsidR="003B6FC7" w:rsidRPr="003B6FC7" w:rsidRDefault="003B6FC7" w:rsidP="003B6FC7">
      <w:pPr>
        <w:ind w:left="18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  <w:t xml:space="preserve">After </w:t>
      </w:r>
      <w:proofErr w:type="spellStart"/>
      <w:r>
        <w:rPr>
          <w:rFonts w:ascii="Times New Roman" w:hAnsi="Times New Roman" w:cs="Times New Roman"/>
          <w:sz w:val="20"/>
          <w:szCs w:val="20"/>
        </w:rPr>
        <w:t>trimmomatic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quality control, the </w:t>
      </w:r>
      <w:proofErr w:type="gramStart"/>
      <w:r>
        <w:rPr>
          <w:rFonts w:ascii="Times New Roman" w:hAnsi="Times New Roman" w:cs="Times New Roman"/>
          <w:sz w:val="20"/>
          <w:szCs w:val="20"/>
        </w:rPr>
        <w:t>number of properly paired reads remaining that were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used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transcriptome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assembly.</w:t>
      </w:r>
    </w:p>
    <w:p w14:paraId="58EBDDB2" w14:textId="1C73DA3C" w:rsidR="00A6390B" w:rsidRPr="00743C91" w:rsidRDefault="00A6390B">
      <w:pPr>
        <w:rPr>
          <w:rFonts w:ascii="Times New Roman" w:hAnsi="Times New Roman" w:cs="Times New Roman"/>
          <w:sz w:val="20"/>
          <w:szCs w:val="20"/>
        </w:rPr>
      </w:pPr>
    </w:p>
    <w:sectPr w:rsidR="00A6390B" w:rsidRPr="00743C91" w:rsidSect="003C66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63"/>
    <w:rsid w:val="00036D1B"/>
    <w:rsid w:val="00052203"/>
    <w:rsid w:val="0005298A"/>
    <w:rsid w:val="00057393"/>
    <w:rsid w:val="000E14FC"/>
    <w:rsid w:val="001372D9"/>
    <w:rsid w:val="001553A2"/>
    <w:rsid w:val="00163D09"/>
    <w:rsid w:val="001968A4"/>
    <w:rsid w:val="001B21E0"/>
    <w:rsid w:val="00226309"/>
    <w:rsid w:val="00242241"/>
    <w:rsid w:val="00264241"/>
    <w:rsid w:val="00297584"/>
    <w:rsid w:val="002A6515"/>
    <w:rsid w:val="002B1B2B"/>
    <w:rsid w:val="002B6DFC"/>
    <w:rsid w:val="00304FB7"/>
    <w:rsid w:val="003158AB"/>
    <w:rsid w:val="003326E4"/>
    <w:rsid w:val="003B6FC7"/>
    <w:rsid w:val="003C663C"/>
    <w:rsid w:val="003D7A35"/>
    <w:rsid w:val="003E736E"/>
    <w:rsid w:val="0043755E"/>
    <w:rsid w:val="00440963"/>
    <w:rsid w:val="00441099"/>
    <w:rsid w:val="00491518"/>
    <w:rsid w:val="004A3773"/>
    <w:rsid w:val="004A4726"/>
    <w:rsid w:val="004B726E"/>
    <w:rsid w:val="005373B7"/>
    <w:rsid w:val="0056371B"/>
    <w:rsid w:val="00574F84"/>
    <w:rsid w:val="005B1DD0"/>
    <w:rsid w:val="005D2163"/>
    <w:rsid w:val="005D3E36"/>
    <w:rsid w:val="005D4E18"/>
    <w:rsid w:val="005D5DE2"/>
    <w:rsid w:val="00605E31"/>
    <w:rsid w:val="00627218"/>
    <w:rsid w:val="00651881"/>
    <w:rsid w:val="00666221"/>
    <w:rsid w:val="006A0377"/>
    <w:rsid w:val="006E0D40"/>
    <w:rsid w:val="007231C5"/>
    <w:rsid w:val="00743C91"/>
    <w:rsid w:val="00763E00"/>
    <w:rsid w:val="00764F25"/>
    <w:rsid w:val="007737F7"/>
    <w:rsid w:val="007C7515"/>
    <w:rsid w:val="007D01E4"/>
    <w:rsid w:val="00864FC5"/>
    <w:rsid w:val="008A5487"/>
    <w:rsid w:val="008D24E4"/>
    <w:rsid w:val="008D2BB3"/>
    <w:rsid w:val="008D49C4"/>
    <w:rsid w:val="008F77C3"/>
    <w:rsid w:val="009071CB"/>
    <w:rsid w:val="00994CD8"/>
    <w:rsid w:val="009D2AD6"/>
    <w:rsid w:val="009F05E3"/>
    <w:rsid w:val="00A6390B"/>
    <w:rsid w:val="00A97E43"/>
    <w:rsid w:val="00AF11EA"/>
    <w:rsid w:val="00B00974"/>
    <w:rsid w:val="00B345A5"/>
    <w:rsid w:val="00B5320E"/>
    <w:rsid w:val="00B77BCF"/>
    <w:rsid w:val="00B8238D"/>
    <w:rsid w:val="00B90C21"/>
    <w:rsid w:val="00BB072E"/>
    <w:rsid w:val="00C07391"/>
    <w:rsid w:val="00C102D6"/>
    <w:rsid w:val="00CA7722"/>
    <w:rsid w:val="00CB6C91"/>
    <w:rsid w:val="00CB719F"/>
    <w:rsid w:val="00D270C5"/>
    <w:rsid w:val="00D9242C"/>
    <w:rsid w:val="00DD7991"/>
    <w:rsid w:val="00DE490A"/>
    <w:rsid w:val="00DF14D4"/>
    <w:rsid w:val="00EA7A83"/>
    <w:rsid w:val="00EB2FD6"/>
    <w:rsid w:val="00EF4BC8"/>
    <w:rsid w:val="00F82F50"/>
    <w:rsid w:val="00F93118"/>
    <w:rsid w:val="00FE2C11"/>
    <w:rsid w:val="00FE5679"/>
    <w:rsid w:val="00FF2613"/>
    <w:rsid w:val="00FF5CC2"/>
    <w:rsid w:val="00FF5E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0FFE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4096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72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2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26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2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26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4096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72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2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26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2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26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877</Characters>
  <Application>Microsoft Macintosh Word</Application>
  <DocSecurity>0</DocSecurity>
  <Lines>7</Lines>
  <Paragraphs>2</Paragraphs>
  <ScaleCrop>false</ScaleCrop>
  <Company>Bucknell University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Field</dc:creator>
  <cp:keywords/>
  <dc:description/>
  <cp:lastModifiedBy>Ken Field</cp:lastModifiedBy>
  <cp:revision>6</cp:revision>
  <dcterms:created xsi:type="dcterms:W3CDTF">2015-02-26T19:42:00Z</dcterms:created>
  <dcterms:modified xsi:type="dcterms:W3CDTF">2015-03-07T17:02:00Z</dcterms:modified>
</cp:coreProperties>
</file>