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2854"/>
        <w:gridCol w:w="1562"/>
        <w:gridCol w:w="2375"/>
        <w:gridCol w:w="783"/>
        <w:gridCol w:w="2816"/>
        <w:gridCol w:w="1094"/>
        <w:gridCol w:w="1050"/>
      </w:tblGrid>
      <w:tr w:rsidR="006372E2" w:rsidRPr="006372E2" w:rsidTr="00797B83">
        <w:trPr>
          <w:trHeight w:val="300"/>
        </w:trPr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2799E">
              <w:rPr>
                <w:b/>
                <w:sz w:val="20"/>
                <w:szCs w:val="20"/>
              </w:rPr>
              <w:t>Season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Root Height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Growth Rate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9E5F3F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 xml:space="preserve">Clock </w:t>
            </w:r>
            <w:r w:rsidR="009E5F3F">
              <w:rPr>
                <w:b/>
                <w:sz w:val="20"/>
                <w:szCs w:val="20"/>
              </w:rPr>
              <w:t>R</w:t>
            </w:r>
            <w:r w:rsidRPr="0012799E"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Clade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Clade Divergence Date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Sequences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372E2" w:rsidRPr="0012799E" w:rsidRDefault="006372E2" w:rsidP="006372E2">
            <w:pPr>
              <w:jc w:val="center"/>
              <w:rPr>
                <w:b/>
                <w:sz w:val="20"/>
                <w:szCs w:val="20"/>
              </w:rPr>
            </w:pPr>
            <w:r w:rsidRPr="0012799E">
              <w:rPr>
                <w:b/>
                <w:sz w:val="20"/>
                <w:szCs w:val="20"/>
              </w:rPr>
              <w:t>Locations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2007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4.102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(2.868-5.429)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1.031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(0.567-1.51)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0.004611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(0.003438-0.005903)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2006.686 (2006.51 - 2006.831)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35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10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vMerge/>
            <w:noWrap/>
            <w:vAlign w:val="center"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816" w:type="dxa"/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2006.467 (2006.176 - 2006.732)</w:t>
            </w:r>
          </w:p>
        </w:tc>
        <w:tc>
          <w:tcPr>
            <w:tcW w:w="1094" w:type="dxa"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38</w:t>
            </w:r>
          </w:p>
        </w:tc>
        <w:tc>
          <w:tcPr>
            <w:tcW w:w="1050" w:type="dxa"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11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2006.78</w:t>
            </w:r>
            <w:r w:rsidR="00B87141">
              <w:rPr>
                <w:sz w:val="20"/>
                <w:szCs w:val="20"/>
              </w:rPr>
              <w:t>0</w:t>
            </w:r>
            <w:r w:rsidR="00797B83">
              <w:rPr>
                <w:sz w:val="20"/>
                <w:szCs w:val="20"/>
              </w:rPr>
              <w:t xml:space="preserve"> </w:t>
            </w:r>
            <w:r w:rsidRPr="006372E2">
              <w:rPr>
                <w:sz w:val="20"/>
                <w:szCs w:val="20"/>
              </w:rPr>
              <w:t>(2006.621 - 2006.917)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9</w:t>
            </w:r>
          </w:p>
        </w:tc>
      </w:tr>
      <w:tr w:rsidR="006372E2" w:rsidRPr="006372E2" w:rsidTr="00797B83">
        <w:trPr>
          <w:trHeight w:val="576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2008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99E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4.237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(2.288-6.999)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1.541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(0.648-2.473)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0.002746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(0.00122-0.004286)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4537D3" w:rsidP="00637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2006.96</w:t>
            </w:r>
            <w:r w:rsidR="00B87141">
              <w:rPr>
                <w:sz w:val="20"/>
                <w:szCs w:val="20"/>
              </w:rPr>
              <w:t>0</w:t>
            </w:r>
            <w:r w:rsidRPr="006372E2">
              <w:rPr>
                <w:sz w:val="20"/>
                <w:szCs w:val="20"/>
              </w:rPr>
              <w:t xml:space="preserve"> (2006.143 - 2007.573)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13</w:t>
            </w:r>
          </w:p>
        </w:tc>
      </w:tr>
      <w:tr w:rsidR="006372E2" w:rsidRPr="006372E2" w:rsidTr="00797B83">
        <w:trPr>
          <w:trHeight w:val="576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2009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99E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1.363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(0.944-1.874)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1.645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(0.59-2.679)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0.006018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(0.003936-0.008157)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NA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2011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2.26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(1.705-2.901)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2.083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(1.329-2.909)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0.004176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(0.003123-0.005239)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2010.549 (2010.443 - 2010.803)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14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noWrap/>
            <w:vAlign w:val="center"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816" w:type="dxa"/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2010.364 (2010.22 - 2010.667)</w:t>
            </w:r>
          </w:p>
        </w:tc>
        <w:tc>
          <w:tcPr>
            <w:tcW w:w="1094" w:type="dxa"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25</w:t>
            </w:r>
          </w:p>
        </w:tc>
        <w:tc>
          <w:tcPr>
            <w:tcW w:w="1050" w:type="dxa"/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17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2010.374 (2010.253 - 2010.627)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86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38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2011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2012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1.913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(1.459-2.418)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1.8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(0.946-2.701)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0.005543 </w:t>
            </w:r>
          </w:p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(0.004205-0.006926)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2011.87</w:t>
            </w:r>
            <w:r w:rsidR="00B87141">
              <w:rPr>
                <w:sz w:val="20"/>
                <w:szCs w:val="20"/>
              </w:rPr>
              <w:t>0</w:t>
            </w:r>
            <w:r w:rsidRPr="006372E2">
              <w:rPr>
                <w:sz w:val="20"/>
                <w:szCs w:val="20"/>
              </w:rPr>
              <w:t xml:space="preserve"> (2011.763 - 2011.964)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15</w:t>
            </w:r>
          </w:p>
        </w:tc>
      </w:tr>
      <w:tr w:rsidR="0012799E" w:rsidRPr="006372E2" w:rsidTr="00797B83">
        <w:trPr>
          <w:trHeight w:val="576"/>
        </w:trPr>
        <w:tc>
          <w:tcPr>
            <w:tcW w:w="11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2011.615 (2011.424 - 2011.79</w:t>
            </w:r>
            <w:r w:rsidR="00B87141">
              <w:rPr>
                <w:sz w:val="20"/>
                <w:szCs w:val="20"/>
              </w:rPr>
              <w:t>0</w:t>
            </w:r>
            <w:r w:rsidRPr="006372E2"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113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799E" w:rsidRPr="006372E2" w:rsidRDefault="0012799E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35</w:t>
            </w:r>
          </w:p>
        </w:tc>
      </w:tr>
      <w:tr w:rsidR="006372E2" w:rsidRPr="006372E2" w:rsidTr="00797B83">
        <w:trPr>
          <w:trHeight w:val="576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</w:rPr>
              <w:t>-</w:t>
            </w:r>
            <w:r w:rsidRPr="006372E2">
              <w:rPr>
                <w:sz w:val="20"/>
                <w:szCs w:val="20"/>
              </w:rPr>
              <w:t>2013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99E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3.028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(2.188-3.941)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0.933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(0.388-1.524)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 xml:space="preserve">0.005109 </w:t>
            </w:r>
          </w:p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(0.003875-0.006435)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797B83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2012.708 (2012.623 - 2012.846)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372E2" w:rsidRPr="006372E2" w:rsidRDefault="006372E2" w:rsidP="006372E2">
            <w:pPr>
              <w:jc w:val="center"/>
              <w:rPr>
                <w:sz w:val="20"/>
                <w:szCs w:val="20"/>
              </w:rPr>
            </w:pPr>
            <w:r w:rsidRPr="006372E2">
              <w:rPr>
                <w:sz w:val="20"/>
                <w:szCs w:val="20"/>
              </w:rPr>
              <w:t>14</w:t>
            </w:r>
          </w:p>
        </w:tc>
      </w:tr>
    </w:tbl>
    <w:p w:rsidR="006372E2" w:rsidRPr="006372E2" w:rsidRDefault="0066516A" w:rsidP="00AD0F5E">
      <w:pPr>
        <w:pStyle w:val="NoSpacing"/>
        <w:spacing w:line="480" w:lineRule="auto"/>
      </w:pPr>
      <w:r w:rsidRPr="00AD0A1F">
        <w:rPr>
          <w:b/>
        </w:rPr>
        <w:t>Table S</w:t>
      </w:r>
      <w:r w:rsidR="009E5F3F" w:rsidRPr="00AD0A1F">
        <w:rPr>
          <w:b/>
        </w:rPr>
        <w:t>4</w:t>
      </w:r>
      <w:r w:rsidRPr="00AD0A1F">
        <w:rPr>
          <w:b/>
        </w:rPr>
        <w:t>.</w:t>
      </w:r>
      <w:r w:rsidRPr="0066516A">
        <w:t xml:space="preserve"> </w:t>
      </w:r>
      <w:proofErr w:type="gramStart"/>
      <w:r w:rsidRPr="0066516A">
        <w:t>Summary of epidemiological and evolutionary dynamics of H1N1 epidemics based on phylogenetic analyses of each influenza season.</w:t>
      </w:r>
      <w:proofErr w:type="gramEnd"/>
      <w:r w:rsidRPr="0066516A">
        <w:t xml:space="preserve"> </w:t>
      </w:r>
      <w:r w:rsidR="009E5F3F">
        <w:t xml:space="preserve">‘Root Height’ is measured in years before present, with the present time equal to the latest </w:t>
      </w:r>
      <w:r w:rsidR="00AD0F5E">
        <w:t xml:space="preserve">sampling </w:t>
      </w:r>
      <w:r w:rsidR="009E5F3F">
        <w:t xml:space="preserve">date. ‘Clock rate’ is measured in substitutions/site/year. </w:t>
      </w:r>
      <w:r w:rsidRPr="0066516A">
        <w:t xml:space="preserve">‘Sequences’ represents the number of sequences analyzed per clade and </w:t>
      </w:r>
      <w:r w:rsidR="009E5F3F">
        <w:t>‘L</w:t>
      </w:r>
      <w:r w:rsidRPr="0066516A">
        <w:t>ocations</w:t>
      </w:r>
      <w:r w:rsidR="009E5F3F">
        <w:t>’</w:t>
      </w:r>
      <w:r w:rsidRPr="0066516A">
        <w:t xml:space="preserve"> represents the number of states these sequences were collected from. </w:t>
      </w:r>
    </w:p>
    <w:sectPr w:rsidR="006372E2" w:rsidRPr="006372E2" w:rsidSect="006372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2"/>
    <w:rsid w:val="0012799E"/>
    <w:rsid w:val="001907C2"/>
    <w:rsid w:val="00215392"/>
    <w:rsid w:val="002D4306"/>
    <w:rsid w:val="002D7031"/>
    <w:rsid w:val="004537D3"/>
    <w:rsid w:val="004A6083"/>
    <w:rsid w:val="00576729"/>
    <w:rsid w:val="006372E2"/>
    <w:rsid w:val="0066516A"/>
    <w:rsid w:val="00797B83"/>
    <w:rsid w:val="00834C7B"/>
    <w:rsid w:val="00844CBF"/>
    <w:rsid w:val="00996521"/>
    <w:rsid w:val="009E5F3F"/>
    <w:rsid w:val="00AD0A1F"/>
    <w:rsid w:val="00AD0F5E"/>
    <w:rsid w:val="00B87141"/>
    <w:rsid w:val="00D64BE0"/>
    <w:rsid w:val="00E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2015-04-25T03:42:00Z</dcterms:created>
  <dcterms:modified xsi:type="dcterms:W3CDTF">2015-04-25T03:42:00Z</dcterms:modified>
</cp:coreProperties>
</file>