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24CF" w14:textId="77777777" w:rsidR="006B36A6" w:rsidRDefault="00B62E67" w:rsidP="00B62E67">
      <w:r>
        <w:rPr>
          <w:noProof/>
          <w:lang w:eastAsia="de-DE"/>
        </w:rPr>
        <w:drawing>
          <wp:inline distT="0" distB="0" distL="0" distR="0" wp14:anchorId="4CB6468E" wp14:editId="07BD9905">
            <wp:extent cx="4629150" cy="2743200"/>
            <wp:effectExtent l="0" t="0" r="19050" b="1905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FD50937" w14:textId="77777777" w:rsidR="00B62E67" w:rsidRPr="00DB2D3B" w:rsidRDefault="00ED5C98" w:rsidP="00B62E67">
      <w:pPr>
        <w:spacing w:line="480" w:lineRule="auto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/>
          <w:lang w:val="en-GB"/>
        </w:rPr>
        <w:t xml:space="preserve">Figure </w:t>
      </w:r>
      <w:r w:rsidR="006E3CAE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>1</w:t>
      </w:r>
      <w:r w:rsidR="00B62E67" w:rsidRPr="00FA6D40">
        <w:rPr>
          <w:rFonts w:ascii="Arial" w:hAnsi="Arial" w:cs="Arial"/>
          <w:b/>
          <w:lang w:val="en-GB"/>
        </w:rPr>
        <w:t xml:space="preserve">: </w:t>
      </w:r>
      <w:bookmarkStart w:id="0" w:name="_GoBack"/>
      <w:r w:rsidR="00B62E67" w:rsidRPr="00B62E67">
        <w:rPr>
          <w:rFonts w:ascii="Arial" w:eastAsia="MS Mincho" w:hAnsi="Arial" w:cs="Arial"/>
          <w:b/>
          <w:lang w:val="en-US" w:eastAsia="de-DE"/>
        </w:rPr>
        <w:t xml:space="preserve">Determination of the AI-2 concentration produced by </w:t>
      </w:r>
      <w:r w:rsidR="00B62E67" w:rsidRPr="00B62E67">
        <w:rPr>
          <w:rFonts w:ascii="Arial" w:eastAsia="MS Mincho" w:hAnsi="Arial" w:cs="Arial"/>
          <w:b/>
          <w:i/>
          <w:lang w:val="en-US" w:eastAsia="de-DE"/>
        </w:rPr>
        <w:t xml:space="preserve">E. </w:t>
      </w:r>
      <w:proofErr w:type="spellStart"/>
      <w:r w:rsidR="00B62E67" w:rsidRPr="00B62E67">
        <w:rPr>
          <w:rFonts w:ascii="Arial" w:eastAsia="MS Mincho" w:hAnsi="Arial" w:cs="Arial"/>
          <w:b/>
          <w:i/>
          <w:lang w:val="en-US" w:eastAsia="de-DE"/>
        </w:rPr>
        <w:t>faecalis</w:t>
      </w:r>
      <w:proofErr w:type="spellEnd"/>
      <w:r w:rsidR="00B62E67" w:rsidRPr="00B62E67">
        <w:rPr>
          <w:rFonts w:ascii="Arial" w:eastAsia="MS Mincho" w:hAnsi="Arial" w:cs="Arial"/>
          <w:b/>
          <w:i/>
          <w:lang w:val="en-US" w:eastAsia="de-DE"/>
        </w:rPr>
        <w:t xml:space="preserve"> </w:t>
      </w:r>
      <w:r w:rsidR="00B62E67" w:rsidRPr="00B62E67">
        <w:rPr>
          <w:rFonts w:ascii="Arial" w:eastAsia="MS Mincho" w:hAnsi="Arial" w:cs="Arial"/>
          <w:b/>
          <w:lang w:val="en-US" w:eastAsia="de-DE"/>
        </w:rPr>
        <w:t>V583ΔABC</w:t>
      </w:r>
      <w:r w:rsidR="00B62E67" w:rsidRPr="00B62E67">
        <w:rPr>
          <w:rFonts w:ascii="Arial" w:eastAsia="MS Mincho" w:hAnsi="Arial" w:cs="Arial"/>
          <w:b/>
          <w:i/>
          <w:lang w:val="en-US" w:eastAsia="de-DE"/>
        </w:rPr>
        <w:t>pp5-</w:t>
      </w:r>
      <w:bookmarkEnd w:id="0"/>
      <w:r w:rsidR="00B62E67">
        <w:rPr>
          <w:rFonts w:ascii="Arial" w:eastAsia="MS Mincho" w:hAnsi="Arial" w:cs="Arial"/>
          <w:b/>
          <w:lang w:val="en-US" w:eastAsia="de-DE"/>
        </w:rPr>
        <w:t xml:space="preserve">: </w:t>
      </w:r>
      <w:r w:rsidR="00B62E67" w:rsidRPr="00B62E67">
        <w:rPr>
          <w:rFonts w:ascii="Arial" w:hAnsi="Arial" w:cs="Arial"/>
          <w:bCs/>
          <w:color w:val="000000"/>
          <w:lang w:val="en-GB"/>
        </w:rPr>
        <w:t xml:space="preserve">The concentration of AI-2 in filter-sterilized supernatants of </w:t>
      </w:r>
      <w:r w:rsidR="00B62E67" w:rsidRPr="00B62E67">
        <w:rPr>
          <w:rFonts w:ascii="Arial" w:hAnsi="Arial" w:cs="Arial"/>
          <w:bCs/>
          <w:i/>
          <w:color w:val="000000"/>
          <w:lang w:val="en-GB"/>
        </w:rPr>
        <w:t xml:space="preserve">E. </w:t>
      </w:r>
      <w:proofErr w:type="spellStart"/>
      <w:r w:rsidR="00B62E67" w:rsidRPr="00B62E67">
        <w:rPr>
          <w:rFonts w:ascii="Arial" w:hAnsi="Arial" w:cs="Arial"/>
          <w:bCs/>
          <w:i/>
          <w:color w:val="000000"/>
          <w:lang w:val="en-GB"/>
        </w:rPr>
        <w:t>faecalis</w:t>
      </w:r>
      <w:proofErr w:type="spellEnd"/>
      <w:r w:rsidR="00B62E67" w:rsidRPr="001F7EE1">
        <w:rPr>
          <w:rFonts w:ascii="Arial" w:hAnsi="Arial" w:cs="Arial"/>
          <w:color w:val="000000"/>
        </w:rPr>
        <w:t>Δ</w:t>
      </w:r>
      <w:r w:rsidR="00B62E67" w:rsidRPr="00B62E67">
        <w:rPr>
          <w:rFonts w:ascii="Arial" w:hAnsi="Arial" w:cs="Arial"/>
          <w:color w:val="000000"/>
          <w:lang w:val="en-GB"/>
        </w:rPr>
        <w:t>ABC</w:t>
      </w:r>
      <w:r w:rsidR="00B62E67">
        <w:rPr>
          <w:rFonts w:ascii="Arial" w:hAnsi="Arial" w:cs="Arial"/>
          <w:i/>
          <w:color w:val="000000"/>
          <w:lang w:val="en-GB"/>
        </w:rPr>
        <w:t>pp5-</w:t>
      </w:r>
      <w:r w:rsidR="00B62E67" w:rsidRPr="00B62E67">
        <w:rPr>
          <w:rFonts w:ascii="Arial" w:hAnsi="Arial" w:cs="Arial"/>
          <w:bCs/>
          <w:color w:val="000000"/>
          <w:lang w:val="en-GB"/>
        </w:rPr>
        <w:t xml:space="preserve"> was determined by a FRET-based AI-2 assay </w:t>
      </w:r>
      <w:r w:rsidR="00B62E67" w:rsidRPr="001F7EE1">
        <w:rPr>
          <w:rFonts w:ascii="Arial" w:hAnsi="Arial" w:cs="Arial"/>
          <w:bCs/>
          <w:color w:val="000000"/>
        </w:rPr>
        <w:fldChar w:fldCharType="begin"/>
      </w:r>
      <w:r w:rsidR="00B62E67" w:rsidRPr="00B62E67">
        <w:rPr>
          <w:rFonts w:ascii="Arial" w:hAnsi="Arial" w:cs="Arial"/>
          <w:bCs/>
          <w:color w:val="000000"/>
          <w:lang w:val="en-GB"/>
        </w:rPr>
        <w:instrText xml:space="preserve"> ADDIN PAPERS2_CITATIONS &lt;citation&gt;&lt;uuid&gt;9AFA7979-6DBF-41F9-8060-733C1C370D3D&lt;/uuid&gt;&lt;priority&gt;26&lt;/priority&gt;&lt;publications&gt;&lt;publication&gt;&lt;uuid&gt;5E55D7CC-7C8A-4E9E-BCF5-A9B088688ED4&lt;/uuid&gt;&lt;volume&gt;191&lt;/volume&gt;&lt;doi&gt;10.1086/427191&lt;/doi&gt;&lt;startpage&gt;472&lt;/startpage&gt;&lt;publication_date&gt;99200502011200000000222000&lt;/publication_date&gt;&lt;url&gt;http://www.journals.uchicago.edu/doi/abs/10.1086/427191&lt;/url&gt;&lt;citekey&gt;Teng:2005p2665&lt;/citekey&gt;&lt;type&gt;400&lt;/type&gt;&lt;title&gt;Importance of gls24 in virulence and stress response of Enterococcus faecalis and use of the Gls24 protein as a possible immunotherapy target&lt;/title&gt;&lt;location&gt;200,5,29.7082805,-95.4043312&lt;/location&gt;&lt;submission_date&gt;99200405181200000000222000&lt;/submission_date&gt;&lt;number&gt;3&lt;/number&gt;&lt;institution&gt;Division of Infectious Diseases, Department of Medicine, and Center for the Study of Emerging and Reemerging Pathogens, University of Texas Houston Medical School, Houston, Texas 77030, USA.&lt;/institution&gt;&lt;subtype&gt;400&lt;/subtype&gt;&lt;endpage&gt;480&lt;/endpage&gt;&lt;bundle&gt;&lt;publication&gt;&lt;url&gt;http://jid.oxfordjournals.org&lt;/url&gt;&lt;title&gt;The Journal of Infectious Diseases&lt;/title&gt;&lt;type&gt;-100&lt;/type&gt;&lt;subtype&gt;-100&lt;/subtype&gt;&lt;uuid&gt;AF247448-BF94-47F1-B130-944729C03302&lt;/uuid&gt;&lt;/publication&gt;&lt;/bundle&gt;&lt;authors&gt;&lt;author&gt;&lt;firstName&gt;Fang&lt;/firstName&gt;&lt;lastName&gt;Teng&lt;/lastName&gt;&lt;/author&gt;&lt;author&gt;&lt;firstName&gt;Esteban&lt;/firstName&gt;&lt;middleNames&gt;C&lt;/middleNames&gt;&lt;lastName&gt;Nannini&lt;/lastName&gt;&lt;/author&gt;&lt;author&gt;&lt;firstName&gt;Barbara&lt;/firstName&gt;&lt;middleNames&gt;E&lt;/middleNames&gt;&lt;lastName&gt;Murray&lt;/lastName&gt;&lt;/author&gt;&lt;/authors&gt;&lt;/publication&gt;&lt;publication&gt;&lt;uuid&gt;00C0A0F6-FAA4-422F-B203-66BF7906E7D5&lt;/uuid&gt;&lt;volume&gt;7&lt;/volume&gt;&lt;accepted_date&gt;99201209241200000000222000&lt;/accepted_date&gt;&lt;doi&gt;10.1371/journal.pone.0048310&lt;/doi&gt;&lt;startpage&gt;e48310&lt;/startpage&gt;&lt;publication_date&gt;99201200001200000000200000&lt;/publication_date&gt;&lt;url&gt;http://eutils.ncbi.nlm.nih.gov/entrez/eutils/elink.fcgi?dbfrom=pubmed&amp;amp;id=23110227&amp;amp;retmode=ref&amp;amp;cmd=prlinks&lt;/url&gt;&lt;type&gt;400&lt;/type&gt;&lt;title&gt;Autoinducers act as biological timers in Vibrio harveyi.&lt;/title&gt;&lt;submission_date&gt;99201207131200000000222000&lt;/submission_date&gt;&lt;number&gt;10&lt;/number&gt;&lt;institution&gt;Munich Center for integrated Protein Science at the Department of Biology I, Microbiology, Ludwig-Maximilians-Universität Munich, Germany.&lt;/institution&gt;&lt;subtype&gt;400&lt;/subtype&gt;&lt;bundle&gt;&lt;publication&gt;&lt;publisher&gt;Public Library of Science&lt;/publisher&gt;&lt;url&gt;http://www.plosone.org&lt;/url&gt;&lt;title&gt;PLoS ONE&lt;/title&gt;&lt;type&gt;-100&lt;/type&gt;&lt;subtype&gt;-100&lt;/subtype&gt;&lt;uuid&gt;4CEB9CFB-1534-41EB-90DF-378160CB2A4D&lt;/uuid&gt;&lt;/publication&gt;&lt;/bundle&gt;&lt;authors&gt;&lt;author&gt;&lt;firstName&gt;Claudia&lt;/firstName&gt;&lt;lastName&gt;Anetzberger&lt;/lastName&gt;&lt;/author&gt;&lt;author&gt;&lt;firstName&gt;Matthias&lt;/firstName&gt;&lt;lastName&gt;Reiger&lt;/lastName&gt;&lt;/author&gt;&lt;author&gt;&lt;firstName&gt;Agnes&lt;/firstName&gt;&lt;lastName&gt;Fekete&lt;/lastName&gt;&lt;/author&gt;&lt;author&gt;&lt;firstName&gt;Ursula&lt;/firstName&gt;&lt;lastName&gt;Schell&lt;/lastName&gt;&lt;/author&gt;&lt;author&gt;&lt;firstName&gt;Nina&lt;/firstName&gt;&lt;lastName&gt;Stambrau&lt;/lastName&gt;&lt;/author&gt;&lt;author&gt;&lt;firstName&gt;Laure&lt;/firstName&gt;&lt;lastName&gt;Plener&lt;/lastName&gt;&lt;/author&gt;&lt;author&gt;&lt;firstName&gt;Joachim&lt;/firstName&gt;&lt;lastName&gt;Kopka&lt;/lastName&gt;&lt;/author&gt;&lt;author&gt;&lt;firstName&gt;Phillippe&lt;/firstName&gt;&lt;lastName&gt;Schmitt-Kopplin&lt;/lastName&gt;&lt;/author&gt;&lt;author&gt;&lt;firstName&gt;Hubert&lt;/firstName&gt;&lt;lastName&gt;Hilbi&lt;/lastName&gt;&lt;/author&gt;&lt;author&gt;&lt;firstName&gt;Kirsten&lt;/firstName&gt;&lt;lastName&gt;Jung&lt;/lastName&gt;&lt;/author&gt;&lt;/authors&gt;&lt;/publication&gt;&lt;/publications&gt;&lt;cites&gt;&lt;/cites&gt;&lt;/citation&gt;</w:instrText>
      </w:r>
      <w:r w:rsidR="00B62E67" w:rsidRPr="001F7EE1">
        <w:rPr>
          <w:rFonts w:ascii="Arial" w:hAnsi="Arial" w:cs="Arial"/>
          <w:bCs/>
          <w:color w:val="000000"/>
        </w:rPr>
        <w:fldChar w:fldCharType="separate"/>
      </w:r>
      <w:r w:rsidR="00B62E67" w:rsidRPr="004A4F2C">
        <w:rPr>
          <w:rFonts w:ascii="Arial" w:hAnsi="Arial" w:cs="Arial"/>
          <w:lang w:val="en-GB"/>
        </w:rPr>
        <w:t>[27,28]</w:t>
      </w:r>
      <w:r w:rsidR="00B62E67" w:rsidRPr="001F7EE1">
        <w:rPr>
          <w:rFonts w:ascii="Arial" w:hAnsi="Arial" w:cs="Arial"/>
          <w:bCs/>
          <w:color w:val="000000"/>
        </w:rPr>
        <w:fldChar w:fldCharType="end"/>
      </w:r>
      <w:r w:rsidR="00B62E67" w:rsidRPr="00B62E67">
        <w:rPr>
          <w:rFonts w:ascii="Arial" w:hAnsi="Arial" w:cs="Arial"/>
          <w:bCs/>
          <w:color w:val="000000"/>
          <w:lang w:val="en-GB"/>
        </w:rPr>
        <w:t xml:space="preserve">. Briefly, the reporter protein consisting of CFP, </w:t>
      </w:r>
      <w:proofErr w:type="spellStart"/>
      <w:r w:rsidR="00B62E67" w:rsidRPr="00B62E67">
        <w:rPr>
          <w:rFonts w:ascii="Arial" w:hAnsi="Arial" w:cs="Arial"/>
          <w:bCs/>
          <w:color w:val="000000"/>
          <w:lang w:val="en-GB"/>
        </w:rPr>
        <w:t>LuxP</w:t>
      </w:r>
      <w:proofErr w:type="spellEnd"/>
      <w:r w:rsidR="00B62E67" w:rsidRPr="00B62E67">
        <w:rPr>
          <w:rFonts w:ascii="Arial" w:hAnsi="Arial" w:cs="Arial"/>
          <w:bCs/>
          <w:color w:val="000000"/>
          <w:lang w:val="en-GB"/>
        </w:rPr>
        <w:t xml:space="preserve">, and YFP (CLPY) was produced in an AI-2 </w:t>
      </w:r>
      <w:r w:rsidR="00B62E67" w:rsidRPr="00B62E67">
        <w:rPr>
          <w:rFonts w:ascii="Arial" w:hAnsi="Arial" w:cs="Arial"/>
          <w:bCs/>
          <w:i/>
          <w:color w:val="000000"/>
          <w:lang w:val="en-GB"/>
        </w:rPr>
        <w:t>E. coli</w:t>
      </w:r>
      <w:r w:rsidR="00B62E67" w:rsidRPr="00B62E67">
        <w:rPr>
          <w:rFonts w:ascii="Arial" w:hAnsi="Arial" w:cs="Arial"/>
          <w:bCs/>
          <w:color w:val="000000"/>
          <w:lang w:val="en-GB"/>
        </w:rPr>
        <w:t xml:space="preserve"> strain, purified by Ni-NTA affinity chromatography and used for the assay in a final concentration of 0.025 mg/ml in reaction buffer (25 </w:t>
      </w:r>
      <w:proofErr w:type="spellStart"/>
      <w:r w:rsidR="00B62E67" w:rsidRPr="00B62E67">
        <w:rPr>
          <w:rFonts w:ascii="Arial" w:hAnsi="Arial" w:cs="Arial"/>
          <w:bCs/>
          <w:color w:val="000000"/>
          <w:lang w:val="en-GB"/>
        </w:rPr>
        <w:t>mM</w:t>
      </w:r>
      <w:proofErr w:type="spellEnd"/>
      <w:r w:rsidR="00B62E67" w:rsidRPr="00B62E67">
        <w:rPr>
          <w:rFonts w:ascii="Arial" w:hAnsi="Arial" w:cs="Arial"/>
          <w:bCs/>
          <w:color w:val="000000"/>
          <w:lang w:val="en-GB"/>
        </w:rPr>
        <w:t xml:space="preserve"> sodium phosphate buffer pH 8.0, 35 </w:t>
      </w:r>
      <w:proofErr w:type="spellStart"/>
      <w:r w:rsidR="00B62E67" w:rsidRPr="00B62E67">
        <w:rPr>
          <w:rFonts w:ascii="Arial" w:hAnsi="Arial" w:cs="Arial"/>
          <w:bCs/>
          <w:color w:val="000000"/>
          <w:lang w:val="en-GB"/>
        </w:rPr>
        <w:t>mM</w:t>
      </w:r>
      <w:proofErr w:type="spellEnd"/>
      <w:r w:rsidR="00B62E67" w:rsidRPr="00B62E67">
        <w:rPr>
          <w:rFonts w:ascii="Arial" w:hAnsi="Arial" w:cs="Arial"/>
          <w:bCs/>
          <w:color w:val="000000"/>
          <w:lang w:val="en-GB"/>
        </w:rPr>
        <w:t xml:space="preserve"> sodiu</w:t>
      </w:r>
      <w:r w:rsidR="00B62E67">
        <w:rPr>
          <w:rFonts w:ascii="Arial" w:hAnsi="Arial" w:cs="Arial"/>
          <w:bCs/>
          <w:color w:val="000000"/>
          <w:lang w:val="en-GB"/>
        </w:rPr>
        <w:t xml:space="preserve">m chloride and 1 </w:t>
      </w:r>
      <w:proofErr w:type="spellStart"/>
      <w:r w:rsidR="00B62E67">
        <w:rPr>
          <w:rFonts w:ascii="Arial" w:hAnsi="Arial" w:cs="Arial"/>
          <w:bCs/>
          <w:color w:val="000000"/>
          <w:lang w:val="en-GB"/>
        </w:rPr>
        <w:t>mM</w:t>
      </w:r>
      <w:proofErr w:type="spellEnd"/>
      <w:r w:rsidR="00B62E67">
        <w:rPr>
          <w:rFonts w:ascii="Arial" w:hAnsi="Arial" w:cs="Arial"/>
          <w:bCs/>
          <w:color w:val="000000"/>
          <w:lang w:val="en-GB"/>
        </w:rPr>
        <w:t xml:space="preserve"> boric acid)</w:t>
      </w:r>
      <w:r w:rsidR="00B62E67" w:rsidRPr="00B62E67">
        <w:rPr>
          <w:rFonts w:ascii="Arial" w:hAnsi="Arial" w:cs="Arial"/>
          <w:bCs/>
          <w:color w:val="000000"/>
          <w:lang w:val="en-GB"/>
        </w:rPr>
        <w:t xml:space="preserve">. The fluorescence emission measured at 540 nm and 485 nm upon excitation at 430 nm gives the FRET ratio (YFP/CFP). A calibration curve for AI-2 (1-60 µM) was used to determine the concentration of AI-2 in the supernatants </w:t>
      </w:r>
      <w:r w:rsidR="00B62E67" w:rsidRPr="001F7EE1">
        <w:rPr>
          <w:rFonts w:ascii="Arial" w:hAnsi="Arial" w:cs="Arial"/>
          <w:bCs/>
          <w:color w:val="000000"/>
        </w:rPr>
        <w:fldChar w:fldCharType="begin"/>
      </w:r>
      <w:r w:rsidR="00B62E67" w:rsidRPr="00B62E67">
        <w:rPr>
          <w:rFonts w:ascii="Arial" w:hAnsi="Arial" w:cs="Arial"/>
          <w:bCs/>
          <w:color w:val="000000"/>
          <w:lang w:val="en-GB"/>
        </w:rPr>
        <w:instrText xml:space="preserve"> ADDIN PAPERS2_CITATIONS &lt;citation&gt;&lt;uuid&gt;C705ABC1-06B8-49CB-8005-DA0155B83C70&lt;/uuid&gt;&lt;priority&gt;27&lt;/priority&gt;&lt;publications&gt;&lt;publication&gt;&lt;uuid&gt;1213DBCD-3CBE-4124-BFB6-5D052D2F9CD9&lt;/uuid&gt;&lt;volume&gt;46&lt;/volume&gt;&lt;doi&gt;10.1021/bi602479e&lt;/doi&gt;&lt;startpage&gt;3990&lt;/startpage&gt;&lt;publication_date&gt;99200704031200000000222000&lt;/publication_date&gt;&lt;url&gt;http://eutils.ncbi.nlm.nih.gov/entrez/eutils/elink.fcgi?dbfrom=pubmed&amp;amp;id=17352493&amp;amp;retmode=ref&amp;amp;cmd=prlinks&lt;/url&gt;&lt;type&gt;400&lt;/type&gt;&lt;title&gt;A LuxP-FRET-based reporter for the detection and quantification of AI-2 bacterial quorum-sensing signal compounds.&lt;/title&gt;&lt;institution&gt;Biophysics Program, The Ohio State University, Columbus, Ohio 43210, USA.&lt;/institution&gt;&lt;number&gt;13&lt;/number&gt;&lt;subtype&gt;400&lt;/subtype&gt;&lt;endpage&gt;3997&lt;/endpage&gt;&lt;bundle&gt;&lt;publication&gt;&lt;url&gt;http://pubs.acs.org&lt;/url&gt;&lt;title&gt;Biochemistry&lt;/title&gt;&lt;type&gt;-100&lt;/type&gt;&lt;subtype&gt;-100&lt;/subtype&gt;&lt;uuid&gt;87515F7C-811C-461E-BD61-33B3AD6E8E92&lt;/uuid&gt;&lt;/publication&gt;&lt;/bundle&gt;&lt;authors&gt;&lt;author&gt;&lt;firstName&gt;Sathish&lt;/firstName&gt;&lt;lastName&gt;Rajamani&lt;/lastName&gt;&lt;/author&gt;&lt;author&gt;&lt;firstName&gt;Jinge&lt;/firstName&gt;&lt;lastName&gt;Zhu&lt;/lastName&gt;&lt;/author&gt;&lt;author&gt;&lt;firstName&gt;Dehua&lt;/firstName&gt;&lt;lastName&gt;Pei&lt;/lastName&gt;&lt;/author&gt;&lt;author&gt;&lt;firstName&gt;Richard&lt;/firstName&gt;&lt;lastName&gt;Sayre&lt;/lastName&gt;&lt;/author&gt;&lt;/authors&gt;&lt;/publication&gt;&lt;publication&gt;&lt;volume&gt;Chapter 1&lt;/volume&gt;&lt;publication_date&gt;99201111001200000000220000&lt;/publication_date&gt;&lt;doi&gt;10.1002/9780471729259.mc01c01s23&lt;/doi&gt;&lt;institution&gt;Department of Plant and Microbial Biology, University of California, Berkeley, California, USA.&lt;/institution&gt;&lt;startpage&gt;Unit1C.1&lt;/startpage&gt;&lt;title&gt;Methods for analysis of bacterial autoinducer-2 production.&lt;/title&gt;&lt;uuid&gt;53C10D08-0004-4700-A1C5-5E4903C2394B&lt;/uuid&gt;&lt;subtype&gt;400&lt;/subtype&gt;&lt;type&gt;400&lt;/type&gt;&lt;url&gt;http://eutils.ncbi.nlm.nih.gov/entrez/eutils/elink.fcgi?dbfrom=pubmed&amp;amp;id=22045583&amp;amp;retmode=ref&amp;amp;cmd=prlinks&lt;/url&gt;&lt;bundle&gt;&lt;publication&gt;&lt;title&gt;Current Protocols in Microbiology&lt;/title&gt;&lt;type&gt;-100&lt;/type&gt;&lt;subtype&gt;-100&lt;/subtype&gt;&lt;uuid&gt;94CD5D0A-6C27-44F0-9C32-6FB62DFF7AB7&lt;/uuid&gt;&lt;/publication&gt;&lt;/bundle&gt;&lt;authors&gt;&lt;author&gt;&lt;firstName&gt;Michiko&lt;/firstName&gt;&lt;middleNames&gt;E&lt;/middleNames&gt;&lt;lastName&gt;Taga&lt;/lastName&gt;&lt;/author&gt;&lt;author&gt;&lt;firstName&gt;Karina&lt;/firstName&gt;&lt;middleNames&gt;B&lt;/middleNames&gt;&lt;lastName&gt;Xavier&lt;/lastName&gt;&lt;/author&gt;&lt;/authors&gt;&lt;/publication&gt;&lt;/publications&gt;&lt;cites&gt;&lt;/cites&gt;&lt;/citation&gt;</w:instrText>
      </w:r>
      <w:r w:rsidR="00B62E67" w:rsidRPr="001F7EE1">
        <w:rPr>
          <w:rFonts w:ascii="Arial" w:hAnsi="Arial" w:cs="Arial"/>
          <w:bCs/>
          <w:color w:val="000000"/>
        </w:rPr>
        <w:fldChar w:fldCharType="separate"/>
      </w:r>
      <w:r w:rsidR="00B62E67" w:rsidRPr="004A4F2C">
        <w:rPr>
          <w:rFonts w:ascii="Arial" w:hAnsi="Arial" w:cs="Arial"/>
          <w:lang w:val="en-GB"/>
        </w:rPr>
        <w:t>[29,30]</w:t>
      </w:r>
      <w:r w:rsidR="00B62E67" w:rsidRPr="001F7EE1">
        <w:rPr>
          <w:rFonts w:ascii="Arial" w:hAnsi="Arial" w:cs="Arial"/>
          <w:bCs/>
          <w:color w:val="000000"/>
        </w:rPr>
        <w:fldChar w:fldCharType="end"/>
      </w:r>
      <w:r w:rsidR="00B62E67" w:rsidRPr="00B62E67">
        <w:rPr>
          <w:rFonts w:ascii="Arial" w:hAnsi="Arial" w:cs="Arial"/>
          <w:bCs/>
          <w:color w:val="000000"/>
          <w:lang w:val="en-GB"/>
        </w:rPr>
        <w:t xml:space="preserve">. </w:t>
      </w:r>
      <w:r w:rsidR="00B62E67" w:rsidRPr="00B62E67">
        <w:rPr>
          <w:rFonts w:ascii="Arial" w:hAnsi="Arial" w:cs="Arial"/>
          <w:color w:val="000000"/>
          <w:lang w:val="en-GB"/>
        </w:rPr>
        <w:t>All experiments were done in triplicate at different time points.</w:t>
      </w:r>
      <w:r w:rsidR="00B62E67">
        <w:rPr>
          <w:rFonts w:ascii="Arial" w:hAnsi="Arial" w:cs="Arial"/>
          <w:color w:val="000000"/>
          <w:lang w:val="en-GB"/>
        </w:rPr>
        <w:t xml:space="preserve"> As seen for </w:t>
      </w:r>
      <w:r w:rsidR="00B62E67">
        <w:rPr>
          <w:rFonts w:ascii="Arial" w:hAnsi="Arial" w:cs="Arial"/>
          <w:i/>
          <w:color w:val="000000"/>
          <w:lang w:val="en-GB"/>
        </w:rPr>
        <w:t xml:space="preserve">E. </w:t>
      </w:r>
      <w:proofErr w:type="spellStart"/>
      <w:r w:rsidR="00B62E67">
        <w:rPr>
          <w:rFonts w:ascii="Arial" w:hAnsi="Arial" w:cs="Arial"/>
          <w:i/>
          <w:color w:val="000000"/>
          <w:lang w:val="en-GB"/>
        </w:rPr>
        <w:t>faecalis</w:t>
      </w:r>
      <w:proofErr w:type="spellEnd"/>
      <w:r w:rsidR="00B62E67">
        <w:rPr>
          <w:rFonts w:ascii="Arial" w:hAnsi="Arial" w:cs="Arial"/>
          <w:i/>
          <w:color w:val="000000"/>
          <w:lang w:val="en-GB"/>
        </w:rPr>
        <w:t xml:space="preserve"> </w:t>
      </w:r>
      <w:r w:rsidR="00B62E67">
        <w:rPr>
          <w:rFonts w:ascii="Arial" w:hAnsi="Arial" w:cs="Arial"/>
          <w:color w:val="000000"/>
          <w:lang w:val="en-GB"/>
        </w:rPr>
        <w:t>V583ΔABC</w:t>
      </w:r>
      <w:r w:rsidR="00DB2D3B">
        <w:rPr>
          <w:rFonts w:ascii="Arial" w:hAnsi="Arial" w:cs="Arial"/>
          <w:color w:val="000000"/>
          <w:lang w:val="en-GB"/>
        </w:rPr>
        <w:t>, a</w:t>
      </w:r>
      <w:r w:rsidR="00DB2D3B" w:rsidRPr="00DB2D3B">
        <w:rPr>
          <w:rFonts w:ascii="Arial" w:eastAsia="MS PGothic" w:hAnsi="Arial" w:cs="Arial"/>
          <w:bCs/>
          <w:color w:val="000000"/>
          <w:kern w:val="24"/>
          <w:lang w:val="en-GB"/>
        </w:rPr>
        <w:t>t 5 to 6 hours the AI-2 concentration</w:t>
      </w:r>
      <w:r w:rsidR="00496D15">
        <w:rPr>
          <w:rFonts w:ascii="Arial" w:eastAsia="MS PGothic" w:hAnsi="Arial" w:cs="Arial"/>
          <w:bCs/>
          <w:color w:val="000000"/>
          <w:kern w:val="24"/>
          <w:lang w:val="en-GB"/>
        </w:rPr>
        <w:t xml:space="preserve"> secreted by the </w:t>
      </w:r>
      <w:r w:rsidR="00496D15">
        <w:rPr>
          <w:rFonts w:ascii="Arial" w:eastAsia="MS PGothic" w:hAnsi="Arial" w:cs="Arial"/>
          <w:bCs/>
          <w:i/>
          <w:color w:val="000000"/>
          <w:kern w:val="24"/>
          <w:lang w:val="en-GB"/>
        </w:rPr>
        <w:t xml:space="preserve">p5- </w:t>
      </w:r>
      <w:r w:rsidR="00496D15">
        <w:rPr>
          <w:rFonts w:ascii="Arial" w:eastAsia="MS PGothic" w:hAnsi="Arial" w:cs="Arial"/>
          <w:bCs/>
          <w:color w:val="000000"/>
          <w:kern w:val="24"/>
          <w:lang w:val="en-GB"/>
        </w:rPr>
        <w:t>mutant</w:t>
      </w:r>
      <w:r w:rsidR="00DB2D3B" w:rsidRPr="00DB2D3B">
        <w:rPr>
          <w:rFonts w:ascii="Arial" w:eastAsia="MS PGothic" w:hAnsi="Arial" w:cs="Arial"/>
          <w:bCs/>
          <w:color w:val="000000"/>
          <w:kern w:val="24"/>
          <w:lang w:val="en-GB"/>
        </w:rPr>
        <w:t xml:space="preserve"> peaked at a maximum of</w:t>
      </w:r>
      <w:r w:rsidR="00DB2D3B">
        <w:rPr>
          <w:rFonts w:ascii="Arial" w:eastAsia="MS PGothic" w:hAnsi="Arial" w:cs="Arial"/>
          <w:bCs/>
          <w:color w:val="000000"/>
          <w:kern w:val="24"/>
          <w:lang w:val="en-GB"/>
        </w:rPr>
        <w:t xml:space="preserve"> about</w:t>
      </w:r>
      <w:r w:rsidR="00DB2D3B" w:rsidRPr="00DB2D3B">
        <w:rPr>
          <w:rFonts w:ascii="Arial" w:eastAsia="MS PGothic" w:hAnsi="Arial" w:cs="Arial"/>
          <w:bCs/>
          <w:color w:val="000000"/>
          <w:kern w:val="24"/>
          <w:lang w:val="en-GB"/>
        </w:rPr>
        <w:t xml:space="preserve"> </w:t>
      </w:r>
      <w:r w:rsidR="00DB2D3B">
        <w:rPr>
          <w:rFonts w:ascii="Arial" w:eastAsia="MS PGothic" w:hAnsi="Arial" w:cs="Arial"/>
          <w:bCs/>
          <w:color w:val="000000"/>
          <w:kern w:val="24"/>
          <w:lang w:val="en-GB"/>
        </w:rPr>
        <w:t>80 µM</w:t>
      </w:r>
      <w:r w:rsidR="00DB2D3B" w:rsidRPr="00DB2D3B">
        <w:rPr>
          <w:rFonts w:ascii="Arial" w:eastAsia="MS PGothic" w:hAnsi="Arial" w:cs="Arial"/>
          <w:bCs/>
          <w:color w:val="000000"/>
          <w:kern w:val="24"/>
          <w:lang w:val="en-GB"/>
        </w:rPr>
        <w:t xml:space="preserve"> and then slowly decreased.</w:t>
      </w:r>
      <w:r w:rsidR="009B417F">
        <w:rPr>
          <w:rFonts w:ascii="Arial" w:eastAsia="MS PGothic" w:hAnsi="Arial" w:cs="Arial"/>
          <w:bCs/>
          <w:color w:val="000000"/>
          <w:kern w:val="24"/>
          <w:lang w:val="en-GB"/>
        </w:rPr>
        <w:t xml:space="preserve"> The error bars represent standard error of the mean.</w:t>
      </w:r>
    </w:p>
    <w:p w14:paraId="2ACF7207" w14:textId="77777777" w:rsidR="00B62E67" w:rsidRPr="00B62E67" w:rsidRDefault="00B62E67" w:rsidP="00B62E67">
      <w:pPr>
        <w:outlineLvl w:val="0"/>
        <w:rPr>
          <w:rFonts w:ascii="Arial" w:eastAsia="MS Mincho" w:hAnsi="Arial" w:cs="Arial"/>
          <w:lang w:val="en-GB" w:eastAsia="de-DE"/>
        </w:rPr>
      </w:pPr>
    </w:p>
    <w:p w14:paraId="73563182" w14:textId="77777777" w:rsidR="00B62E67" w:rsidRPr="00B62E67" w:rsidRDefault="00B62E67" w:rsidP="00B62E67">
      <w:pPr>
        <w:rPr>
          <w:lang w:val="en-US"/>
        </w:rPr>
      </w:pPr>
    </w:p>
    <w:sectPr w:rsidR="00B62E67" w:rsidRPr="00B62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67"/>
    <w:rsid w:val="00307258"/>
    <w:rsid w:val="00496D15"/>
    <w:rsid w:val="006B36A6"/>
    <w:rsid w:val="006E3CAE"/>
    <w:rsid w:val="009B417F"/>
    <w:rsid w:val="00B62E67"/>
    <w:rsid w:val="00DB2D3B"/>
    <w:rsid w:val="00ED5C98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DF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2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elios.med.uni-muenchen.de\ecfs\KINDFOR-AG_Klein\Frie\Autoinducer%20Projekt%20inklusive%20Paper\PLoS%20Pathogens%20revision\Kopie%20von%202014-11-20%20FRET-Bestimmung%20AI-2%20in%20pp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280183727034"/>
          <c:y val="0.0420257363662875"/>
          <c:w val="0.866349545812946"/>
          <c:h val="0.911504811898513"/>
        </c:manualLayout>
      </c:layout>
      <c:scatterChart>
        <c:scatterStyle val="smoothMarker"/>
        <c:varyColors val="0"/>
        <c:ser>
          <c:idx val="0"/>
          <c:order val="0"/>
          <c:tx>
            <c:v>Mittelwert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Tabelle1!$C$140:$L$140</c:f>
                <c:numCache>
                  <c:formatCode>General</c:formatCode>
                  <c:ptCount val="10"/>
                  <c:pt idx="0">
                    <c:v>0.62827819843366</c:v>
                  </c:pt>
                  <c:pt idx="1">
                    <c:v>2.310943145404349</c:v>
                  </c:pt>
                  <c:pt idx="2">
                    <c:v>3.225547074531974</c:v>
                  </c:pt>
                  <c:pt idx="3">
                    <c:v>2.535856354876399</c:v>
                  </c:pt>
                  <c:pt idx="4">
                    <c:v>1.280401773079289</c:v>
                  </c:pt>
                  <c:pt idx="5">
                    <c:v>1.914436649678149</c:v>
                  </c:pt>
                  <c:pt idx="6">
                    <c:v>2.850084910458587</c:v>
                  </c:pt>
                  <c:pt idx="7">
                    <c:v>3.9112768757585</c:v>
                  </c:pt>
                  <c:pt idx="8">
                    <c:v>5.514766563034983</c:v>
                  </c:pt>
                  <c:pt idx="9">
                    <c:v>4.53630439141489</c:v>
                  </c:pt>
                </c:numCache>
              </c:numRef>
            </c:plus>
            <c:minus>
              <c:numRef>
                <c:f>Tabelle1!$C$140:$L$140</c:f>
                <c:numCache>
                  <c:formatCode>General</c:formatCode>
                  <c:ptCount val="10"/>
                  <c:pt idx="0">
                    <c:v>0.62827819843366</c:v>
                  </c:pt>
                  <c:pt idx="1">
                    <c:v>2.310943145404349</c:v>
                  </c:pt>
                  <c:pt idx="2">
                    <c:v>3.225547074531974</c:v>
                  </c:pt>
                  <c:pt idx="3">
                    <c:v>2.535856354876399</c:v>
                  </c:pt>
                  <c:pt idx="4">
                    <c:v>1.280401773079289</c:v>
                  </c:pt>
                  <c:pt idx="5">
                    <c:v>1.914436649678149</c:v>
                  </c:pt>
                  <c:pt idx="6">
                    <c:v>2.850084910458587</c:v>
                  </c:pt>
                  <c:pt idx="7">
                    <c:v>3.9112768757585</c:v>
                  </c:pt>
                  <c:pt idx="8">
                    <c:v>5.514766563034983</c:v>
                  </c:pt>
                  <c:pt idx="9">
                    <c:v>4.53630439141489</c:v>
                  </c:pt>
                </c:numCache>
              </c:numRef>
            </c:minus>
          </c:errBars>
          <c:xVal>
            <c:numRef>
              <c:f>Tabelle1!$C$138:$L$138</c:f>
              <c:numCache>
                <c:formatCode>General</c:formatCode>
                <c:ptCount val="10"/>
                <c:pt idx="0">
                  <c:v>0.0</c:v>
                </c:pt>
                <c:pt idx="1">
                  <c:v>0.5</c:v>
                </c:pt>
                <c:pt idx="2">
                  <c:v>1.0</c:v>
                </c:pt>
                <c:pt idx="3">
                  <c:v>2.0</c:v>
                </c:pt>
                <c:pt idx="4">
                  <c:v>3.0</c:v>
                </c:pt>
                <c:pt idx="5">
                  <c:v>4.0</c:v>
                </c:pt>
                <c:pt idx="6">
                  <c:v>5.0</c:v>
                </c:pt>
                <c:pt idx="7">
                  <c:v>6.0</c:v>
                </c:pt>
                <c:pt idx="8">
                  <c:v>7.0</c:v>
                </c:pt>
                <c:pt idx="9">
                  <c:v>8.0</c:v>
                </c:pt>
              </c:numCache>
            </c:numRef>
          </c:xVal>
          <c:yVal>
            <c:numRef>
              <c:f>Tabelle1!$C$139:$L$139</c:f>
              <c:numCache>
                <c:formatCode>General</c:formatCode>
                <c:ptCount val="10"/>
                <c:pt idx="0">
                  <c:v>-0.684480812044754</c:v>
                </c:pt>
                <c:pt idx="1">
                  <c:v>27.22508890476386</c:v>
                </c:pt>
                <c:pt idx="2">
                  <c:v>48.9399174992348</c:v>
                </c:pt>
                <c:pt idx="3">
                  <c:v>56.28444917655627</c:v>
                </c:pt>
                <c:pt idx="4">
                  <c:v>59.15985532278238</c:v>
                </c:pt>
                <c:pt idx="5">
                  <c:v>61.36240861319954</c:v>
                </c:pt>
                <c:pt idx="6">
                  <c:v>73.64537910015076</c:v>
                </c:pt>
                <c:pt idx="7">
                  <c:v>73.81447662332148</c:v>
                </c:pt>
                <c:pt idx="8">
                  <c:v>60.18309430988691</c:v>
                </c:pt>
                <c:pt idx="9">
                  <c:v>40.85817394487834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3526744"/>
        <c:axId val="2063889400"/>
      </c:scatterChart>
      <c:valAx>
        <c:axId val="2053526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time [h] </a:t>
                </a:r>
              </a:p>
            </c:rich>
          </c:tx>
          <c:layout>
            <c:manualLayout>
              <c:xMode val="edge"/>
              <c:yMode val="edge"/>
              <c:x val="0.378000874890639"/>
              <c:y val="0.9235053951589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63889400"/>
        <c:crosses val="autoZero"/>
        <c:crossBetween val="midCat"/>
      </c:valAx>
      <c:valAx>
        <c:axId val="20638894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de-DE"/>
                  <a:t>AI-2 - concentration</a:t>
                </a:r>
                <a:r>
                  <a:rPr lang="de-DE" baseline="0"/>
                  <a:t> [µM]</a:t>
                </a:r>
                <a:endParaRPr lang="de-DE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535267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5770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frossman</dc:creator>
  <cp:lastModifiedBy>Johannes Huebner</cp:lastModifiedBy>
  <cp:revision>7</cp:revision>
  <dcterms:created xsi:type="dcterms:W3CDTF">2014-11-21T14:43:00Z</dcterms:created>
  <dcterms:modified xsi:type="dcterms:W3CDTF">2015-01-07T12:43:00Z</dcterms:modified>
</cp:coreProperties>
</file>