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8306" w14:textId="105618B3" w:rsidR="0078682B" w:rsidRPr="00C5018A" w:rsidRDefault="00693D85" w:rsidP="00087C72">
      <w:pPr>
        <w:ind w:left="-720" w:right="-720"/>
        <w:rPr>
          <w:rFonts w:ascii="Calibri" w:hAnsi="Calibri"/>
          <w:b/>
          <w:sz w:val="24"/>
          <w:szCs w:val="24"/>
        </w:rPr>
      </w:pPr>
      <w:r w:rsidRPr="00C5018A">
        <w:rPr>
          <w:rFonts w:ascii="Calibri" w:hAnsi="Calibri"/>
          <w:b/>
          <w:sz w:val="24"/>
          <w:szCs w:val="24"/>
        </w:rPr>
        <w:t>SUPPLEMENTARY MATERIALS AND METHODS</w:t>
      </w:r>
    </w:p>
    <w:p w14:paraId="59CD8DE5" w14:textId="21B98E0C" w:rsidR="00693D85" w:rsidRDefault="0078682B" w:rsidP="00087C72">
      <w:pPr>
        <w:ind w:left="-720" w:right="-720"/>
        <w:rPr>
          <w:sz w:val="24"/>
          <w:szCs w:val="24"/>
        </w:rPr>
      </w:pPr>
      <w:r w:rsidRPr="00F12CDA">
        <w:rPr>
          <w:b/>
          <w:i/>
          <w:sz w:val="24"/>
          <w:szCs w:val="24"/>
        </w:rPr>
        <w:t>In vitro</w:t>
      </w:r>
      <w:r w:rsidRPr="00F12CDA">
        <w:rPr>
          <w:b/>
          <w:sz w:val="24"/>
          <w:szCs w:val="24"/>
        </w:rPr>
        <w:t xml:space="preserve"> GST-</w:t>
      </w:r>
      <w:proofErr w:type="spellStart"/>
      <w:r w:rsidRPr="00F12CDA">
        <w:rPr>
          <w:b/>
          <w:sz w:val="24"/>
          <w:szCs w:val="24"/>
        </w:rPr>
        <w:t>Crk</w:t>
      </w:r>
      <w:proofErr w:type="spellEnd"/>
      <w:r w:rsidRPr="00F12CDA">
        <w:rPr>
          <w:b/>
          <w:sz w:val="24"/>
          <w:szCs w:val="24"/>
        </w:rPr>
        <w:t xml:space="preserve"> </w:t>
      </w:r>
      <w:r w:rsidR="00BC634D">
        <w:rPr>
          <w:b/>
          <w:sz w:val="24"/>
          <w:szCs w:val="24"/>
        </w:rPr>
        <w:t>binding assay</w:t>
      </w:r>
      <w:r w:rsidR="00BC634D" w:rsidRPr="00F613D3">
        <w:rPr>
          <w:sz w:val="24"/>
          <w:szCs w:val="24"/>
        </w:rPr>
        <w:t xml:space="preserve"> </w:t>
      </w:r>
    </w:p>
    <w:p w14:paraId="67B1499B" w14:textId="53F3189E" w:rsidR="0078682B" w:rsidRPr="00F613D3" w:rsidRDefault="0078682B" w:rsidP="00087C72">
      <w:pPr>
        <w:ind w:left="-720" w:right="-720"/>
        <w:rPr>
          <w:b/>
          <w:sz w:val="24"/>
          <w:szCs w:val="24"/>
        </w:rPr>
      </w:pPr>
      <w:proofErr w:type="spellStart"/>
      <w:r w:rsidRPr="00F613D3">
        <w:rPr>
          <w:sz w:val="24"/>
          <w:szCs w:val="24"/>
        </w:rPr>
        <w:t>Hexahistidine</w:t>
      </w:r>
      <w:proofErr w:type="spellEnd"/>
      <w:r w:rsidRPr="00F613D3">
        <w:rPr>
          <w:sz w:val="24"/>
          <w:szCs w:val="24"/>
        </w:rPr>
        <w:t xml:space="preserve">-tagged </w:t>
      </w:r>
      <w:r>
        <w:rPr>
          <w:sz w:val="24"/>
          <w:szCs w:val="24"/>
        </w:rPr>
        <w:t>TepP</w:t>
      </w:r>
      <w:r w:rsidRPr="00F613D3">
        <w:rPr>
          <w:sz w:val="24"/>
          <w:szCs w:val="24"/>
        </w:rPr>
        <w:t xml:space="preserve"> was purified on Nickel resin </w:t>
      </w:r>
      <w:r w:rsidR="00CF754D">
        <w:rPr>
          <w:sz w:val="24"/>
          <w:szCs w:val="24"/>
        </w:rPr>
        <w:t>(</w:t>
      </w:r>
      <w:proofErr w:type="spellStart"/>
      <w:r w:rsidR="00CF754D" w:rsidRPr="00F613D3">
        <w:rPr>
          <w:sz w:val="24"/>
          <w:szCs w:val="24"/>
        </w:rPr>
        <w:t>Qiagen</w:t>
      </w:r>
      <w:proofErr w:type="spellEnd"/>
      <w:r w:rsidR="00CF754D" w:rsidRPr="00F613D3">
        <w:rPr>
          <w:sz w:val="24"/>
          <w:szCs w:val="24"/>
        </w:rPr>
        <w:t>, Valencia, CA, USA</w:t>
      </w:r>
      <w:r w:rsidR="00CF754D">
        <w:rPr>
          <w:sz w:val="24"/>
          <w:szCs w:val="24"/>
        </w:rPr>
        <w:t xml:space="preserve">) </w:t>
      </w:r>
      <w:r w:rsidR="00AB6D2D" w:rsidRPr="00F613D3">
        <w:rPr>
          <w:sz w:val="24"/>
          <w:szCs w:val="24"/>
        </w:rPr>
        <w:t>and</w:t>
      </w:r>
      <w:r w:rsidR="00AB6D2D">
        <w:rPr>
          <w:sz w:val="24"/>
          <w:szCs w:val="24"/>
        </w:rPr>
        <w:t xml:space="preserve"> beads with bound TepP were </w:t>
      </w:r>
      <w:proofErr w:type="spellStart"/>
      <w:r w:rsidRPr="00F613D3">
        <w:rPr>
          <w:sz w:val="24"/>
          <w:szCs w:val="24"/>
        </w:rPr>
        <w:t>aliquoted</w:t>
      </w:r>
      <w:proofErr w:type="spellEnd"/>
      <w:r w:rsidRPr="00F613D3">
        <w:rPr>
          <w:sz w:val="24"/>
          <w:szCs w:val="24"/>
        </w:rPr>
        <w:t xml:space="preserve"> into three tubes. Two tubes were incubated with HeLa cell lysate</w:t>
      </w:r>
      <w:r w:rsidR="00693D85">
        <w:rPr>
          <w:sz w:val="24"/>
          <w:szCs w:val="24"/>
        </w:rPr>
        <w:t>s</w:t>
      </w:r>
      <w:r w:rsidRPr="00F613D3">
        <w:rPr>
          <w:sz w:val="24"/>
          <w:szCs w:val="24"/>
        </w:rPr>
        <w:t xml:space="preserve"> for </w:t>
      </w:r>
      <w:r w:rsidRPr="00F613D3">
        <w:rPr>
          <w:i/>
          <w:sz w:val="24"/>
          <w:szCs w:val="24"/>
        </w:rPr>
        <w:t>in vitro</w:t>
      </w:r>
      <w:r w:rsidRPr="00F613D3">
        <w:rPr>
          <w:sz w:val="24"/>
          <w:szCs w:val="24"/>
        </w:rPr>
        <w:t xml:space="preserve"> phosphorylation for 1 hour at 4°C and one of the tubes was further treated with </w:t>
      </w:r>
      <w:r w:rsidR="00BC634D" w:rsidRPr="00F613D3">
        <w:rPr>
          <w:sz w:val="24"/>
          <w:szCs w:val="24"/>
        </w:rPr>
        <w:t>Alkaline Phosphatase, Calf Intestinal (</w:t>
      </w:r>
      <w:r w:rsidR="00BC634D">
        <w:rPr>
          <w:sz w:val="24"/>
          <w:szCs w:val="24"/>
        </w:rPr>
        <w:t>CIP)(</w:t>
      </w:r>
      <w:r w:rsidR="00BC634D" w:rsidRPr="00F613D3">
        <w:rPr>
          <w:sz w:val="24"/>
          <w:szCs w:val="24"/>
        </w:rPr>
        <w:t xml:space="preserve">New England </w:t>
      </w:r>
      <w:proofErr w:type="spellStart"/>
      <w:r w:rsidR="00BC634D" w:rsidRPr="00F613D3">
        <w:rPr>
          <w:sz w:val="24"/>
          <w:szCs w:val="24"/>
        </w:rPr>
        <w:t>BioLabs</w:t>
      </w:r>
      <w:proofErr w:type="spellEnd"/>
      <w:r w:rsidR="00BC634D" w:rsidRPr="00F613D3">
        <w:rPr>
          <w:sz w:val="24"/>
          <w:szCs w:val="24"/>
        </w:rPr>
        <w:t>, Ipswich, MA, USA) 50 Unit/</w:t>
      </w:r>
      <w:proofErr w:type="spellStart"/>
      <w:r w:rsidR="00BC634D" w:rsidRPr="00F613D3">
        <w:rPr>
          <w:sz w:val="24"/>
          <w:szCs w:val="24"/>
        </w:rPr>
        <w:t>rxn</w:t>
      </w:r>
      <w:proofErr w:type="spellEnd"/>
      <w:r w:rsidR="00BC634D" w:rsidRPr="00F613D3">
        <w:rPr>
          <w:sz w:val="24"/>
          <w:szCs w:val="24"/>
        </w:rPr>
        <w:t xml:space="preserve"> to re</w:t>
      </w:r>
      <w:r w:rsidR="00BC634D">
        <w:rPr>
          <w:sz w:val="24"/>
          <w:szCs w:val="24"/>
        </w:rPr>
        <w:t>verse</w:t>
      </w:r>
      <w:r w:rsidR="00BC634D" w:rsidRPr="00F613D3">
        <w:rPr>
          <w:sz w:val="24"/>
          <w:szCs w:val="24"/>
        </w:rPr>
        <w:t xml:space="preserve"> phosphorylation</w:t>
      </w:r>
      <w:r w:rsidR="00BC634D">
        <w:rPr>
          <w:sz w:val="24"/>
          <w:szCs w:val="24"/>
        </w:rPr>
        <w:t xml:space="preserve"> reactions </w:t>
      </w:r>
      <w:r w:rsidR="00BC634D" w:rsidRPr="00F613D3">
        <w:rPr>
          <w:sz w:val="24"/>
          <w:szCs w:val="24"/>
        </w:rPr>
        <w:t>at 37°C for 40 min in NEB buffer</w:t>
      </w:r>
      <w:r w:rsidR="00BC634D">
        <w:rPr>
          <w:sz w:val="24"/>
          <w:szCs w:val="24"/>
        </w:rPr>
        <w:t xml:space="preserve"> 3</w:t>
      </w:r>
      <w:r w:rsidRPr="00F613D3">
        <w:rPr>
          <w:sz w:val="24"/>
          <w:szCs w:val="24"/>
        </w:rPr>
        <w:t>. To prepare HeLa cell lysate</w:t>
      </w:r>
      <w:r w:rsidR="00A40AD6">
        <w:rPr>
          <w:sz w:val="24"/>
          <w:szCs w:val="24"/>
        </w:rPr>
        <w:t>s</w:t>
      </w:r>
      <w:r w:rsidRPr="00F613D3">
        <w:rPr>
          <w:sz w:val="24"/>
          <w:szCs w:val="24"/>
        </w:rPr>
        <w:t xml:space="preserve"> for </w:t>
      </w:r>
      <w:r w:rsidRPr="00F613D3">
        <w:rPr>
          <w:i/>
          <w:sz w:val="24"/>
          <w:szCs w:val="24"/>
        </w:rPr>
        <w:t>in vitro</w:t>
      </w:r>
      <w:r w:rsidRPr="00F613D3">
        <w:rPr>
          <w:sz w:val="24"/>
          <w:szCs w:val="24"/>
        </w:rPr>
        <w:t xml:space="preserve"> phosphorylation, around 3x10</w:t>
      </w:r>
      <w:r w:rsidRPr="00F613D3">
        <w:rPr>
          <w:sz w:val="24"/>
          <w:szCs w:val="24"/>
          <w:vertAlign w:val="superscript"/>
        </w:rPr>
        <w:t>6</w:t>
      </w:r>
      <w:r w:rsidRPr="00F613D3">
        <w:rPr>
          <w:sz w:val="24"/>
          <w:szCs w:val="24"/>
        </w:rPr>
        <w:t xml:space="preserve"> HeLa cells were </w:t>
      </w:r>
      <w:proofErr w:type="spellStart"/>
      <w:r w:rsidRPr="00F613D3">
        <w:rPr>
          <w:sz w:val="24"/>
          <w:szCs w:val="24"/>
        </w:rPr>
        <w:t>lyzed</w:t>
      </w:r>
      <w:proofErr w:type="spellEnd"/>
      <w:r w:rsidRPr="00F613D3">
        <w:rPr>
          <w:sz w:val="24"/>
          <w:szCs w:val="24"/>
        </w:rPr>
        <w:t xml:space="preserve"> in </w:t>
      </w:r>
      <w:r w:rsidRPr="00F613D3">
        <w:rPr>
          <w:i/>
          <w:sz w:val="24"/>
          <w:szCs w:val="24"/>
        </w:rPr>
        <w:t>in vitro</w:t>
      </w:r>
      <w:r w:rsidRPr="00F613D3">
        <w:rPr>
          <w:sz w:val="24"/>
          <w:szCs w:val="24"/>
        </w:rPr>
        <w:t xml:space="preserve"> kinase buffer (100 </w:t>
      </w:r>
      <w:proofErr w:type="spellStart"/>
      <w:r w:rsidRPr="00F613D3">
        <w:rPr>
          <w:sz w:val="24"/>
          <w:szCs w:val="24"/>
        </w:rPr>
        <w:t>mM</w:t>
      </w:r>
      <w:proofErr w:type="spellEnd"/>
      <w:r w:rsidRPr="00F613D3">
        <w:rPr>
          <w:sz w:val="24"/>
          <w:szCs w:val="24"/>
        </w:rPr>
        <w:t xml:space="preserve"> </w:t>
      </w:r>
      <w:proofErr w:type="spellStart"/>
      <w:r w:rsidRPr="00F613D3">
        <w:rPr>
          <w:sz w:val="24"/>
          <w:szCs w:val="24"/>
        </w:rPr>
        <w:t>KCl</w:t>
      </w:r>
      <w:proofErr w:type="spellEnd"/>
      <w:r w:rsidRPr="00F613D3">
        <w:rPr>
          <w:sz w:val="24"/>
          <w:szCs w:val="24"/>
        </w:rPr>
        <w:t xml:space="preserve">, 10 </w:t>
      </w:r>
      <w:proofErr w:type="spellStart"/>
      <w:r w:rsidRPr="00F613D3">
        <w:rPr>
          <w:sz w:val="24"/>
          <w:szCs w:val="24"/>
        </w:rPr>
        <w:t>mM</w:t>
      </w:r>
      <w:proofErr w:type="spellEnd"/>
      <w:r w:rsidRPr="00F613D3">
        <w:rPr>
          <w:sz w:val="24"/>
          <w:szCs w:val="24"/>
        </w:rPr>
        <w:t xml:space="preserve"> HEPES, pH 7.7, 2 </w:t>
      </w:r>
      <w:proofErr w:type="spellStart"/>
      <w:r w:rsidRPr="00F613D3">
        <w:rPr>
          <w:sz w:val="24"/>
          <w:szCs w:val="24"/>
        </w:rPr>
        <w:t>mM</w:t>
      </w:r>
      <w:proofErr w:type="spellEnd"/>
      <w:r w:rsidRPr="00F613D3">
        <w:rPr>
          <w:sz w:val="24"/>
          <w:szCs w:val="24"/>
        </w:rPr>
        <w:t xml:space="preserve"> MaCl</w:t>
      </w:r>
      <w:r w:rsidRPr="00F613D3">
        <w:rPr>
          <w:sz w:val="24"/>
          <w:szCs w:val="24"/>
          <w:vertAlign w:val="subscript"/>
        </w:rPr>
        <w:t>2</w:t>
      </w:r>
      <w:r w:rsidRPr="00F613D3">
        <w:rPr>
          <w:sz w:val="24"/>
          <w:szCs w:val="24"/>
        </w:rPr>
        <w:t xml:space="preserve"> and 2 </w:t>
      </w:r>
      <w:proofErr w:type="spellStart"/>
      <w:r w:rsidRPr="00F613D3">
        <w:rPr>
          <w:sz w:val="24"/>
          <w:szCs w:val="24"/>
        </w:rPr>
        <w:t>mM</w:t>
      </w:r>
      <w:proofErr w:type="spellEnd"/>
      <w:r w:rsidRPr="00F613D3">
        <w:rPr>
          <w:sz w:val="24"/>
          <w:szCs w:val="24"/>
        </w:rPr>
        <w:t xml:space="preserve"> ATP) supplemented with PMSF, Halt</w:t>
      </w:r>
      <w:r w:rsidRPr="00F613D3">
        <w:rPr>
          <w:rFonts w:hint="eastAsia"/>
          <w:sz w:val="24"/>
          <w:szCs w:val="24"/>
        </w:rPr>
        <w:t xml:space="preserve"> </w:t>
      </w:r>
      <w:r w:rsidRPr="00F613D3">
        <w:rPr>
          <w:sz w:val="24"/>
          <w:szCs w:val="24"/>
        </w:rPr>
        <w:t xml:space="preserve">phosphatase inhibitor </w:t>
      </w:r>
      <w:r w:rsidR="00BC634D" w:rsidRPr="00F613D3">
        <w:rPr>
          <w:sz w:val="24"/>
          <w:szCs w:val="24"/>
        </w:rPr>
        <w:t>(Pierce, Rockford, Illinois, USA)</w:t>
      </w:r>
      <w:r w:rsidR="00BC634D">
        <w:rPr>
          <w:sz w:val="24"/>
          <w:szCs w:val="24"/>
        </w:rPr>
        <w:t xml:space="preserve"> </w:t>
      </w:r>
      <w:r w:rsidRPr="00F613D3">
        <w:rPr>
          <w:sz w:val="24"/>
          <w:szCs w:val="24"/>
        </w:rPr>
        <w:t>and protease inhibitor cocktail</w:t>
      </w:r>
      <w:r w:rsidR="00BC634D">
        <w:rPr>
          <w:sz w:val="24"/>
          <w:szCs w:val="24"/>
        </w:rPr>
        <w:t xml:space="preserve"> </w:t>
      </w:r>
      <w:r w:rsidR="00BC634D" w:rsidRPr="00F613D3">
        <w:rPr>
          <w:sz w:val="24"/>
          <w:szCs w:val="24"/>
        </w:rPr>
        <w:t>(Roche, Basel, Switzerland)</w:t>
      </w:r>
      <w:r w:rsidRPr="00F613D3">
        <w:rPr>
          <w:sz w:val="24"/>
          <w:szCs w:val="24"/>
        </w:rPr>
        <w:t xml:space="preserve">. Cell debris was removed by centrifugation. </w:t>
      </w:r>
      <w:r w:rsidR="00D04182">
        <w:rPr>
          <w:sz w:val="24"/>
          <w:szCs w:val="24"/>
        </w:rPr>
        <w:t>The last</w:t>
      </w:r>
      <w:r w:rsidR="00D04182" w:rsidRPr="00F613D3">
        <w:rPr>
          <w:sz w:val="24"/>
          <w:szCs w:val="24"/>
        </w:rPr>
        <w:t xml:space="preserve"> tube was incubated with </w:t>
      </w:r>
      <w:r w:rsidR="00D04182" w:rsidRPr="00BC634D">
        <w:rPr>
          <w:i/>
          <w:sz w:val="24"/>
          <w:szCs w:val="24"/>
        </w:rPr>
        <w:t>in vitro</w:t>
      </w:r>
      <w:r w:rsidR="00D04182">
        <w:rPr>
          <w:sz w:val="24"/>
          <w:szCs w:val="24"/>
        </w:rPr>
        <w:t xml:space="preserve"> kinase </w:t>
      </w:r>
      <w:r w:rsidR="00BC634D">
        <w:rPr>
          <w:sz w:val="24"/>
          <w:szCs w:val="24"/>
        </w:rPr>
        <w:t>buffer only as a control</w:t>
      </w:r>
      <w:r w:rsidRPr="00F613D3">
        <w:rPr>
          <w:sz w:val="24"/>
          <w:szCs w:val="24"/>
        </w:rPr>
        <w:t>. Purified GST and GST-</w:t>
      </w:r>
      <w:proofErr w:type="spellStart"/>
      <w:r w:rsidRPr="00F613D3">
        <w:rPr>
          <w:sz w:val="24"/>
          <w:szCs w:val="24"/>
        </w:rPr>
        <w:t>Crk</w:t>
      </w:r>
      <w:proofErr w:type="spellEnd"/>
      <w:r w:rsidRPr="00F613D3">
        <w:rPr>
          <w:sz w:val="24"/>
          <w:szCs w:val="24"/>
        </w:rPr>
        <w:t xml:space="preserve"> were added to</w:t>
      </w:r>
      <w:r w:rsidR="006D421B">
        <w:rPr>
          <w:sz w:val="24"/>
          <w:szCs w:val="24"/>
        </w:rPr>
        <w:t xml:space="preserve"> tubes containing </w:t>
      </w:r>
      <w:r w:rsidR="00D04182">
        <w:rPr>
          <w:sz w:val="24"/>
          <w:szCs w:val="24"/>
        </w:rPr>
        <w:t xml:space="preserve">TepP, </w:t>
      </w:r>
      <w:r w:rsidR="00F55272">
        <w:rPr>
          <w:sz w:val="24"/>
          <w:szCs w:val="24"/>
        </w:rPr>
        <w:t>phospho</w:t>
      </w:r>
      <w:r w:rsidR="006D421B">
        <w:rPr>
          <w:sz w:val="24"/>
          <w:szCs w:val="24"/>
        </w:rPr>
        <w:t>-TepP</w:t>
      </w:r>
      <w:r w:rsidR="00694623">
        <w:rPr>
          <w:sz w:val="24"/>
          <w:szCs w:val="24"/>
        </w:rPr>
        <w:t xml:space="preserve"> </w:t>
      </w:r>
      <w:r w:rsidR="00CF754D">
        <w:rPr>
          <w:sz w:val="24"/>
          <w:szCs w:val="24"/>
        </w:rPr>
        <w:t>or CI</w:t>
      </w:r>
      <w:r w:rsidR="006D421B">
        <w:rPr>
          <w:sz w:val="24"/>
          <w:szCs w:val="24"/>
        </w:rPr>
        <w:t>P-tr</w:t>
      </w:r>
      <w:r w:rsidR="00694623">
        <w:rPr>
          <w:sz w:val="24"/>
          <w:szCs w:val="24"/>
        </w:rPr>
        <w:t>e</w:t>
      </w:r>
      <w:r w:rsidR="00D04182">
        <w:rPr>
          <w:sz w:val="24"/>
          <w:szCs w:val="24"/>
        </w:rPr>
        <w:t>ated Tep</w:t>
      </w:r>
      <w:r w:rsidR="006D421B">
        <w:rPr>
          <w:sz w:val="24"/>
          <w:szCs w:val="24"/>
        </w:rPr>
        <w:t>P</w:t>
      </w:r>
      <w:r w:rsidRPr="00F613D3">
        <w:rPr>
          <w:sz w:val="24"/>
          <w:szCs w:val="24"/>
        </w:rPr>
        <w:t xml:space="preserve"> and </w:t>
      </w:r>
      <w:r w:rsidR="00F55272">
        <w:rPr>
          <w:sz w:val="24"/>
          <w:szCs w:val="24"/>
        </w:rPr>
        <w:t>incubated</w:t>
      </w:r>
      <w:r w:rsidRPr="00F613D3">
        <w:rPr>
          <w:sz w:val="24"/>
          <w:szCs w:val="24"/>
        </w:rPr>
        <w:t xml:space="preserve"> in </w:t>
      </w:r>
      <w:r w:rsidR="00F55272">
        <w:rPr>
          <w:sz w:val="24"/>
          <w:szCs w:val="24"/>
        </w:rPr>
        <w:t xml:space="preserve">the </w:t>
      </w:r>
      <w:r w:rsidRPr="00F613D3">
        <w:rPr>
          <w:sz w:val="24"/>
          <w:szCs w:val="24"/>
        </w:rPr>
        <w:t>cold room for 2 hours</w:t>
      </w:r>
      <w:r w:rsidR="00BC634D">
        <w:rPr>
          <w:sz w:val="24"/>
          <w:szCs w:val="24"/>
        </w:rPr>
        <w:t>.</w:t>
      </w:r>
      <w:r w:rsidR="00F55272">
        <w:rPr>
          <w:sz w:val="24"/>
          <w:szCs w:val="24"/>
        </w:rPr>
        <w:t xml:space="preserve"> </w:t>
      </w:r>
      <w:r w:rsidRPr="00F613D3">
        <w:rPr>
          <w:sz w:val="24"/>
          <w:szCs w:val="24"/>
        </w:rPr>
        <w:t xml:space="preserve"> After washing resins four times with </w:t>
      </w:r>
      <w:r w:rsidR="00D04182">
        <w:rPr>
          <w:sz w:val="24"/>
          <w:szCs w:val="24"/>
        </w:rPr>
        <w:t xml:space="preserve">Pierce </w:t>
      </w:r>
      <w:r w:rsidR="00D04182" w:rsidRPr="00F613D3">
        <w:rPr>
          <w:sz w:val="24"/>
          <w:szCs w:val="24"/>
        </w:rPr>
        <w:t xml:space="preserve">IP </w:t>
      </w:r>
      <w:proofErr w:type="spellStart"/>
      <w:r w:rsidR="00D04182" w:rsidRPr="00F613D3">
        <w:rPr>
          <w:sz w:val="24"/>
          <w:szCs w:val="24"/>
        </w:rPr>
        <w:t>lysis</w:t>
      </w:r>
      <w:proofErr w:type="spellEnd"/>
      <w:r w:rsidR="00D04182" w:rsidRPr="00F613D3">
        <w:rPr>
          <w:sz w:val="24"/>
          <w:szCs w:val="24"/>
        </w:rPr>
        <w:t xml:space="preserve"> buffer</w:t>
      </w:r>
      <w:r w:rsidR="00D04182">
        <w:rPr>
          <w:sz w:val="24"/>
          <w:szCs w:val="24"/>
        </w:rPr>
        <w:t xml:space="preserve"> </w:t>
      </w:r>
      <w:r w:rsidR="00D04182" w:rsidRPr="00F613D3">
        <w:rPr>
          <w:rFonts w:hint="eastAsia"/>
          <w:sz w:val="24"/>
          <w:szCs w:val="24"/>
        </w:rPr>
        <w:t xml:space="preserve">(25 </w:t>
      </w:r>
      <w:proofErr w:type="spellStart"/>
      <w:r w:rsidR="00D04182" w:rsidRPr="00F613D3">
        <w:rPr>
          <w:rFonts w:hint="eastAsia"/>
          <w:sz w:val="24"/>
          <w:szCs w:val="24"/>
        </w:rPr>
        <w:t>mM</w:t>
      </w:r>
      <w:proofErr w:type="spellEnd"/>
      <w:r w:rsidR="00D04182" w:rsidRPr="00F613D3">
        <w:rPr>
          <w:rFonts w:hint="eastAsia"/>
          <w:sz w:val="24"/>
          <w:szCs w:val="24"/>
        </w:rPr>
        <w:t xml:space="preserve"> </w:t>
      </w:r>
      <w:proofErr w:type="spellStart"/>
      <w:r w:rsidR="00D04182" w:rsidRPr="00F613D3">
        <w:rPr>
          <w:rFonts w:hint="eastAsia"/>
          <w:sz w:val="24"/>
          <w:szCs w:val="24"/>
        </w:rPr>
        <w:t>Tris</w:t>
      </w:r>
      <w:proofErr w:type="spellEnd"/>
      <w:r w:rsidR="00D04182" w:rsidRPr="00F613D3">
        <w:rPr>
          <w:rFonts w:hint="eastAsia"/>
          <w:sz w:val="24"/>
          <w:szCs w:val="24"/>
        </w:rPr>
        <w:t xml:space="preserve">, 150 </w:t>
      </w:r>
      <w:proofErr w:type="spellStart"/>
      <w:r w:rsidR="00D04182" w:rsidRPr="00F613D3">
        <w:rPr>
          <w:rFonts w:hint="eastAsia"/>
          <w:sz w:val="24"/>
          <w:szCs w:val="24"/>
        </w:rPr>
        <w:t>mM</w:t>
      </w:r>
      <w:proofErr w:type="spellEnd"/>
      <w:r w:rsidR="00D04182" w:rsidRPr="00F613D3">
        <w:rPr>
          <w:rFonts w:hint="eastAsia"/>
          <w:sz w:val="24"/>
          <w:szCs w:val="24"/>
        </w:rPr>
        <w:t xml:space="preserve"> </w:t>
      </w:r>
      <w:proofErr w:type="spellStart"/>
      <w:r w:rsidR="00D04182" w:rsidRPr="00F613D3">
        <w:rPr>
          <w:rFonts w:hint="eastAsia"/>
          <w:sz w:val="24"/>
          <w:szCs w:val="24"/>
        </w:rPr>
        <w:t>NaCl</w:t>
      </w:r>
      <w:proofErr w:type="spellEnd"/>
      <w:r w:rsidR="00D04182" w:rsidRPr="00F613D3">
        <w:rPr>
          <w:rFonts w:hint="eastAsia"/>
          <w:sz w:val="24"/>
          <w:szCs w:val="24"/>
        </w:rPr>
        <w:t xml:space="preserve">, 1 </w:t>
      </w:r>
      <w:proofErr w:type="spellStart"/>
      <w:r w:rsidR="00D04182" w:rsidRPr="00F613D3">
        <w:rPr>
          <w:rFonts w:hint="eastAsia"/>
          <w:sz w:val="24"/>
          <w:szCs w:val="24"/>
        </w:rPr>
        <w:t>mM</w:t>
      </w:r>
      <w:proofErr w:type="spellEnd"/>
      <w:r w:rsidR="00D04182" w:rsidRPr="00F613D3">
        <w:rPr>
          <w:rFonts w:hint="eastAsia"/>
          <w:sz w:val="24"/>
          <w:szCs w:val="24"/>
        </w:rPr>
        <w:t xml:space="preserve"> EDTA, 1 % NP-40, 5 % glycerol; pH 7.4)</w:t>
      </w:r>
      <w:r w:rsidR="00D04182" w:rsidRPr="00F613D3">
        <w:rPr>
          <w:sz w:val="24"/>
          <w:szCs w:val="24"/>
        </w:rPr>
        <w:t>(Pierce, Rockford, Illinois, USA)</w:t>
      </w:r>
      <w:r w:rsidRPr="00F613D3">
        <w:rPr>
          <w:sz w:val="24"/>
          <w:szCs w:val="24"/>
        </w:rPr>
        <w:t xml:space="preserve">, bound proteins were denatured in sample buffer and analyzed by </w:t>
      </w:r>
      <w:proofErr w:type="spellStart"/>
      <w:r w:rsidRPr="00F613D3">
        <w:rPr>
          <w:sz w:val="24"/>
          <w:szCs w:val="24"/>
        </w:rPr>
        <w:t>immunoblot</w:t>
      </w:r>
      <w:r w:rsidR="00F55272">
        <w:rPr>
          <w:sz w:val="24"/>
          <w:szCs w:val="24"/>
        </w:rPr>
        <w:t>s</w:t>
      </w:r>
      <w:proofErr w:type="spellEnd"/>
      <w:r w:rsidRPr="00F613D3">
        <w:rPr>
          <w:sz w:val="24"/>
          <w:szCs w:val="24"/>
        </w:rPr>
        <w:t xml:space="preserve"> </w:t>
      </w:r>
      <w:r w:rsidR="00F55272">
        <w:rPr>
          <w:sz w:val="24"/>
          <w:szCs w:val="24"/>
        </w:rPr>
        <w:t>with anti-</w:t>
      </w:r>
      <w:r w:rsidRPr="00F613D3">
        <w:rPr>
          <w:sz w:val="24"/>
          <w:szCs w:val="24"/>
        </w:rPr>
        <w:t xml:space="preserve">GST, </w:t>
      </w:r>
      <w:r w:rsidR="00F55272">
        <w:rPr>
          <w:sz w:val="24"/>
          <w:szCs w:val="24"/>
        </w:rPr>
        <w:t>-</w:t>
      </w:r>
      <w:proofErr w:type="spellStart"/>
      <w:r w:rsidRPr="00F613D3">
        <w:rPr>
          <w:sz w:val="24"/>
          <w:szCs w:val="24"/>
        </w:rPr>
        <w:t>Crk</w:t>
      </w:r>
      <w:proofErr w:type="spellEnd"/>
      <w:r w:rsidRPr="00F613D3">
        <w:rPr>
          <w:sz w:val="24"/>
          <w:szCs w:val="24"/>
        </w:rPr>
        <w:t xml:space="preserve">, </w:t>
      </w:r>
      <w:r w:rsidR="00F55272">
        <w:rPr>
          <w:sz w:val="24"/>
          <w:szCs w:val="24"/>
        </w:rPr>
        <w:t>-</w:t>
      </w:r>
      <w:r>
        <w:rPr>
          <w:sz w:val="24"/>
          <w:szCs w:val="24"/>
        </w:rPr>
        <w:t>TepP</w:t>
      </w:r>
      <w:r w:rsidRPr="00F613D3">
        <w:rPr>
          <w:sz w:val="24"/>
          <w:szCs w:val="24"/>
        </w:rPr>
        <w:t xml:space="preserve"> and </w:t>
      </w:r>
      <w:r w:rsidR="00F55272">
        <w:rPr>
          <w:sz w:val="24"/>
          <w:szCs w:val="24"/>
        </w:rPr>
        <w:t>-</w:t>
      </w:r>
      <w:r w:rsidRPr="00F613D3">
        <w:rPr>
          <w:sz w:val="24"/>
          <w:szCs w:val="24"/>
        </w:rPr>
        <w:t>p-Tyr</w:t>
      </w:r>
      <w:r w:rsidR="00F55272">
        <w:rPr>
          <w:sz w:val="24"/>
          <w:szCs w:val="24"/>
        </w:rPr>
        <w:t xml:space="preserve"> antibodies</w:t>
      </w:r>
      <w:r w:rsidRPr="00F613D3">
        <w:rPr>
          <w:sz w:val="24"/>
          <w:szCs w:val="24"/>
        </w:rPr>
        <w:t>.</w:t>
      </w:r>
    </w:p>
    <w:p w14:paraId="1761A3A4" w14:textId="77777777" w:rsidR="0078682B" w:rsidRPr="00EB0EB9" w:rsidRDefault="0078682B" w:rsidP="00087C72">
      <w:pPr>
        <w:ind w:left="-720" w:right="-720"/>
        <w:rPr>
          <w:b/>
          <w:sz w:val="24"/>
          <w:szCs w:val="24"/>
        </w:rPr>
      </w:pPr>
      <w:r w:rsidRPr="00EB0EB9">
        <w:rPr>
          <w:b/>
          <w:sz w:val="24"/>
          <w:szCs w:val="24"/>
        </w:rPr>
        <w:t>Infectious Forming Unit (IFU) assay</w:t>
      </w:r>
    </w:p>
    <w:p w14:paraId="17CF8660" w14:textId="4D3A5889" w:rsidR="0078682B" w:rsidRPr="00D04182" w:rsidRDefault="0078682B" w:rsidP="00087C72">
      <w:pPr>
        <w:ind w:left="-720" w:right="-720"/>
        <w:rPr>
          <w:sz w:val="24"/>
          <w:szCs w:val="24"/>
        </w:rPr>
      </w:pPr>
      <w:r w:rsidRPr="00EB0EB9">
        <w:rPr>
          <w:sz w:val="24"/>
          <w:szCs w:val="24"/>
        </w:rPr>
        <w:t>Confluent monolayer</w:t>
      </w:r>
      <w:r w:rsidR="00000245" w:rsidRPr="00EB0EB9">
        <w:rPr>
          <w:sz w:val="24"/>
          <w:szCs w:val="24"/>
        </w:rPr>
        <w:t>s</w:t>
      </w:r>
      <w:r w:rsidRPr="00EB0EB9">
        <w:rPr>
          <w:sz w:val="24"/>
          <w:szCs w:val="24"/>
        </w:rPr>
        <w:t xml:space="preserve"> of HeLa cells were infected with various </w:t>
      </w:r>
      <w:r w:rsidRPr="00EB0EB9">
        <w:rPr>
          <w:i/>
          <w:sz w:val="24"/>
          <w:szCs w:val="24"/>
        </w:rPr>
        <w:t>Chlamydia</w:t>
      </w:r>
      <w:r w:rsidRPr="00EB0EB9">
        <w:rPr>
          <w:sz w:val="24"/>
          <w:szCs w:val="24"/>
        </w:rPr>
        <w:t xml:space="preserve"> strains at an MOI &lt; 1</w:t>
      </w:r>
      <w:r w:rsidR="0052359F">
        <w:rPr>
          <w:sz w:val="24"/>
          <w:szCs w:val="24"/>
        </w:rPr>
        <w:t>.  Bacteria in infected cells were</w:t>
      </w:r>
      <w:r w:rsidRPr="00BC634D">
        <w:rPr>
          <w:sz w:val="24"/>
          <w:szCs w:val="24"/>
        </w:rPr>
        <w:t xml:space="preserve"> harvested at 28</w:t>
      </w:r>
      <w:r w:rsidR="00FE647D">
        <w:rPr>
          <w:sz w:val="24"/>
          <w:szCs w:val="24"/>
        </w:rPr>
        <w:t xml:space="preserve"> </w:t>
      </w:r>
      <w:proofErr w:type="spellStart"/>
      <w:r w:rsidRPr="00BC634D">
        <w:rPr>
          <w:sz w:val="24"/>
          <w:szCs w:val="24"/>
        </w:rPr>
        <w:t>h</w:t>
      </w:r>
      <w:r w:rsidR="00FE647D">
        <w:rPr>
          <w:sz w:val="24"/>
          <w:szCs w:val="24"/>
        </w:rPr>
        <w:t>pi</w:t>
      </w:r>
      <w:proofErr w:type="spellEnd"/>
      <w:r w:rsidRPr="00BC634D">
        <w:rPr>
          <w:sz w:val="24"/>
          <w:szCs w:val="24"/>
        </w:rPr>
        <w:t xml:space="preserve"> by hypotonic </w:t>
      </w:r>
      <w:proofErr w:type="spellStart"/>
      <w:r w:rsidRPr="00BC634D">
        <w:rPr>
          <w:sz w:val="24"/>
          <w:szCs w:val="24"/>
        </w:rPr>
        <w:t>lysis</w:t>
      </w:r>
      <w:proofErr w:type="spellEnd"/>
      <w:r w:rsidRPr="00BC634D">
        <w:rPr>
          <w:sz w:val="24"/>
          <w:szCs w:val="24"/>
        </w:rPr>
        <w:t xml:space="preserve"> as previously described </w:t>
      </w:r>
      <w:r w:rsidR="00BC634D">
        <w:rPr>
          <w:sz w:val="24"/>
          <w:szCs w:val="24"/>
        </w:rPr>
        <w:t>[1]</w:t>
      </w:r>
      <w:r w:rsidRPr="00BC634D">
        <w:rPr>
          <w:sz w:val="24"/>
          <w:szCs w:val="24"/>
        </w:rPr>
        <w:t xml:space="preserve">. Serial dilutions of the cell lysates were used to infect a new </w:t>
      </w:r>
      <w:r w:rsidR="000C1F5A">
        <w:rPr>
          <w:sz w:val="24"/>
          <w:szCs w:val="24"/>
        </w:rPr>
        <w:t>mono</w:t>
      </w:r>
      <w:r w:rsidRPr="00BC634D">
        <w:rPr>
          <w:sz w:val="24"/>
          <w:szCs w:val="24"/>
        </w:rPr>
        <w:t>layer of HeLa cells</w:t>
      </w:r>
      <w:r w:rsidR="000C1F5A">
        <w:rPr>
          <w:sz w:val="24"/>
          <w:szCs w:val="24"/>
        </w:rPr>
        <w:t xml:space="preserve"> and</w:t>
      </w:r>
      <w:r w:rsidRPr="00D04182">
        <w:rPr>
          <w:sz w:val="24"/>
          <w:szCs w:val="24"/>
        </w:rPr>
        <w:t xml:space="preserve"> inclusions were </w:t>
      </w:r>
      <w:r w:rsidR="000C1F5A">
        <w:rPr>
          <w:sz w:val="24"/>
          <w:szCs w:val="24"/>
        </w:rPr>
        <w:t xml:space="preserve">detected by </w:t>
      </w:r>
      <w:proofErr w:type="spellStart"/>
      <w:r w:rsidRPr="00D04182">
        <w:rPr>
          <w:sz w:val="24"/>
          <w:szCs w:val="24"/>
        </w:rPr>
        <w:t>immun</w:t>
      </w:r>
      <w:r w:rsidR="00FE647D">
        <w:rPr>
          <w:sz w:val="24"/>
          <w:szCs w:val="24"/>
        </w:rPr>
        <w:t>o</w:t>
      </w:r>
      <w:r w:rsidRPr="00D04182">
        <w:rPr>
          <w:sz w:val="24"/>
          <w:szCs w:val="24"/>
        </w:rPr>
        <w:t>st</w:t>
      </w:r>
      <w:r w:rsidR="000C1F5A">
        <w:rPr>
          <w:sz w:val="24"/>
          <w:szCs w:val="24"/>
        </w:rPr>
        <w:t>a</w:t>
      </w:r>
      <w:r w:rsidRPr="00D04182">
        <w:rPr>
          <w:sz w:val="24"/>
          <w:szCs w:val="24"/>
        </w:rPr>
        <w:t>in</w:t>
      </w:r>
      <w:r w:rsidR="000C1F5A">
        <w:rPr>
          <w:sz w:val="24"/>
          <w:szCs w:val="24"/>
        </w:rPr>
        <w:t>ing</w:t>
      </w:r>
      <w:proofErr w:type="spellEnd"/>
      <w:r w:rsidRPr="00D04182">
        <w:rPr>
          <w:sz w:val="24"/>
          <w:szCs w:val="24"/>
        </w:rPr>
        <w:t xml:space="preserve"> with anti-Slc1 antibodies</w:t>
      </w:r>
      <w:r w:rsidR="000C1F5A">
        <w:rPr>
          <w:sz w:val="24"/>
          <w:szCs w:val="24"/>
        </w:rPr>
        <w:t xml:space="preserve"> at 24 </w:t>
      </w:r>
      <w:proofErr w:type="spellStart"/>
      <w:r w:rsidR="000C1F5A">
        <w:rPr>
          <w:sz w:val="24"/>
          <w:szCs w:val="24"/>
        </w:rPr>
        <w:t>hpi</w:t>
      </w:r>
      <w:proofErr w:type="spellEnd"/>
      <w:r w:rsidR="000C1F5A">
        <w:rPr>
          <w:sz w:val="24"/>
          <w:szCs w:val="24"/>
        </w:rPr>
        <w:t>.  T</w:t>
      </w:r>
      <w:r w:rsidRPr="00D04182">
        <w:rPr>
          <w:sz w:val="24"/>
          <w:szCs w:val="24"/>
        </w:rPr>
        <w:t>he number of inclusion</w:t>
      </w:r>
      <w:r w:rsidR="00991E93">
        <w:rPr>
          <w:sz w:val="24"/>
          <w:szCs w:val="24"/>
        </w:rPr>
        <w:t>s</w:t>
      </w:r>
      <w:r w:rsidRPr="00D04182">
        <w:rPr>
          <w:sz w:val="24"/>
          <w:szCs w:val="24"/>
        </w:rPr>
        <w:t xml:space="preserve"> </w:t>
      </w:r>
      <w:r w:rsidR="00991E93">
        <w:rPr>
          <w:sz w:val="24"/>
          <w:szCs w:val="24"/>
        </w:rPr>
        <w:t>was</w:t>
      </w:r>
      <w:r w:rsidRPr="00D04182">
        <w:rPr>
          <w:sz w:val="24"/>
          <w:szCs w:val="24"/>
        </w:rPr>
        <w:t xml:space="preserve"> counted under a fluorescence microscope. The total number of IFUs obtained </w:t>
      </w:r>
      <w:r w:rsidR="000C1F5A">
        <w:rPr>
          <w:sz w:val="24"/>
          <w:szCs w:val="24"/>
        </w:rPr>
        <w:t xml:space="preserve">at 28h (output) </w:t>
      </w:r>
      <w:r w:rsidRPr="00D04182">
        <w:rPr>
          <w:sz w:val="24"/>
          <w:szCs w:val="24"/>
        </w:rPr>
        <w:t xml:space="preserve">was divided by the number of input bacteria to derive number of infectious progeny per input bacteria. </w:t>
      </w:r>
    </w:p>
    <w:p w14:paraId="0F62C268" w14:textId="2FFAE08F" w:rsidR="0078682B" w:rsidRPr="00D04182" w:rsidRDefault="0078682B" w:rsidP="00087C72">
      <w:pPr>
        <w:ind w:left="-720" w:right="-720"/>
        <w:rPr>
          <w:b/>
          <w:sz w:val="24"/>
          <w:szCs w:val="24"/>
        </w:rPr>
      </w:pPr>
      <w:proofErr w:type="spellStart"/>
      <w:r w:rsidRPr="00D04182">
        <w:rPr>
          <w:b/>
          <w:sz w:val="24"/>
          <w:szCs w:val="24"/>
        </w:rPr>
        <w:t>Crk</w:t>
      </w:r>
      <w:proofErr w:type="spellEnd"/>
      <w:r w:rsidRPr="00D04182">
        <w:rPr>
          <w:b/>
          <w:sz w:val="24"/>
          <w:szCs w:val="24"/>
        </w:rPr>
        <w:t xml:space="preserve"> </w:t>
      </w:r>
      <w:proofErr w:type="spellStart"/>
      <w:r w:rsidRPr="00D04182">
        <w:rPr>
          <w:b/>
          <w:sz w:val="24"/>
          <w:szCs w:val="24"/>
        </w:rPr>
        <w:t>siRNA</w:t>
      </w:r>
      <w:proofErr w:type="spellEnd"/>
      <w:r w:rsidRPr="00D04182">
        <w:rPr>
          <w:b/>
          <w:sz w:val="24"/>
          <w:szCs w:val="24"/>
        </w:rPr>
        <w:t xml:space="preserve"> knockdown</w:t>
      </w:r>
      <w:r w:rsidR="000C1F5A">
        <w:rPr>
          <w:b/>
          <w:sz w:val="24"/>
          <w:szCs w:val="24"/>
        </w:rPr>
        <w:t>s</w:t>
      </w:r>
    </w:p>
    <w:p w14:paraId="550FF4B3" w14:textId="52635543" w:rsidR="00BC634D" w:rsidRDefault="0078682B" w:rsidP="00087C72">
      <w:pPr>
        <w:ind w:left="-720" w:right="-720"/>
        <w:rPr>
          <w:sz w:val="24"/>
          <w:szCs w:val="24"/>
        </w:rPr>
      </w:pPr>
      <w:r w:rsidRPr="00D04182">
        <w:rPr>
          <w:sz w:val="24"/>
          <w:szCs w:val="24"/>
        </w:rPr>
        <w:t xml:space="preserve">HeLa cells were transfected either with </w:t>
      </w:r>
      <w:proofErr w:type="spellStart"/>
      <w:r w:rsidRPr="00D04182">
        <w:rPr>
          <w:sz w:val="24"/>
          <w:szCs w:val="24"/>
        </w:rPr>
        <w:t>siRNA</w:t>
      </w:r>
      <w:r w:rsidR="00F73D54">
        <w:rPr>
          <w:sz w:val="24"/>
          <w:szCs w:val="24"/>
        </w:rPr>
        <w:t>s</w:t>
      </w:r>
      <w:proofErr w:type="spellEnd"/>
      <w:r w:rsidRPr="00D04182">
        <w:rPr>
          <w:sz w:val="24"/>
          <w:szCs w:val="24"/>
        </w:rPr>
        <w:t xml:space="preserve"> designed against </w:t>
      </w:r>
      <w:proofErr w:type="spellStart"/>
      <w:r w:rsidRPr="00D04182">
        <w:rPr>
          <w:sz w:val="24"/>
          <w:szCs w:val="24"/>
        </w:rPr>
        <w:t>Crk</w:t>
      </w:r>
      <w:proofErr w:type="spellEnd"/>
      <w:r w:rsidRPr="00D04182">
        <w:rPr>
          <w:sz w:val="24"/>
          <w:szCs w:val="24"/>
        </w:rPr>
        <w:t xml:space="preserve"> (</w:t>
      </w:r>
      <w:proofErr w:type="spellStart"/>
      <w:r w:rsidRPr="00D04182">
        <w:rPr>
          <w:sz w:val="24"/>
          <w:szCs w:val="24"/>
        </w:rPr>
        <w:t>Qiagen</w:t>
      </w:r>
      <w:proofErr w:type="spellEnd"/>
      <w:r w:rsidRPr="00D04182">
        <w:rPr>
          <w:sz w:val="24"/>
          <w:szCs w:val="24"/>
        </w:rPr>
        <w:t xml:space="preserve"> Cat. No. 1027416) or with negative control </w:t>
      </w:r>
      <w:proofErr w:type="spellStart"/>
      <w:r w:rsidRPr="00D04182">
        <w:rPr>
          <w:sz w:val="24"/>
          <w:szCs w:val="24"/>
        </w:rPr>
        <w:t>siRNA</w:t>
      </w:r>
      <w:proofErr w:type="spellEnd"/>
      <w:r w:rsidRPr="00D04182">
        <w:rPr>
          <w:sz w:val="24"/>
          <w:szCs w:val="24"/>
        </w:rPr>
        <w:t xml:space="preserve"> (</w:t>
      </w:r>
      <w:proofErr w:type="spellStart"/>
      <w:r w:rsidRPr="00D04182">
        <w:rPr>
          <w:sz w:val="24"/>
          <w:szCs w:val="24"/>
        </w:rPr>
        <w:t>Qiagen</w:t>
      </w:r>
      <w:proofErr w:type="spellEnd"/>
      <w:r w:rsidRPr="00D04182">
        <w:rPr>
          <w:sz w:val="24"/>
          <w:szCs w:val="24"/>
        </w:rPr>
        <w:t xml:space="preserve"> Cat. </w:t>
      </w:r>
      <w:proofErr w:type="gramStart"/>
      <w:r w:rsidRPr="00D04182">
        <w:rPr>
          <w:sz w:val="24"/>
          <w:szCs w:val="24"/>
        </w:rPr>
        <w:t xml:space="preserve">No. 1027280) using </w:t>
      </w:r>
      <w:proofErr w:type="spellStart"/>
      <w:r w:rsidRPr="00D04182">
        <w:rPr>
          <w:sz w:val="24"/>
          <w:szCs w:val="24"/>
        </w:rPr>
        <w:t>Lipofectamine</w:t>
      </w:r>
      <w:proofErr w:type="spellEnd"/>
      <w:r w:rsidRPr="00D04182">
        <w:rPr>
          <w:sz w:val="24"/>
          <w:szCs w:val="24"/>
        </w:rPr>
        <w:t xml:space="preserve"> </w:t>
      </w:r>
      <w:proofErr w:type="spellStart"/>
      <w:r w:rsidRPr="00D04182">
        <w:rPr>
          <w:sz w:val="24"/>
          <w:szCs w:val="24"/>
        </w:rPr>
        <w:t>RNAiMAX</w:t>
      </w:r>
      <w:proofErr w:type="spellEnd"/>
      <w:r w:rsidRPr="00D04182">
        <w:rPr>
          <w:sz w:val="24"/>
          <w:szCs w:val="24"/>
        </w:rPr>
        <w:t xml:space="preserve"> reagent (Invitrogen, </w:t>
      </w:r>
      <w:r w:rsidRPr="00D04182">
        <w:rPr>
          <w:color w:val="000000" w:themeColor="text1"/>
          <w:sz w:val="24"/>
          <w:szCs w:val="24"/>
          <w:shd w:val="clear" w:color="auto" w:fill="FFFFFF"/>
        </w:rPr>
        <w:t>Life Technologies corp., Grand Island, NY, USA</w:t>
      </w:r>
      <w:r w:rsidRPr="00D04182">
        <w:rPr>
          <w:sz w:val="24"/>
          <w:szCs w:val="24"/>
        </w:rPr>
        <w:t>).</w:t>
      </w:r>
      <w:proofErr w:type="gramEnd"/>
      <w:r w:rsidRPr="00D04182">
        <w:rPr>
          <w:sz w:val="24"/>
          <w:szCs w:val="24"/>
        </w:rPr>
        <w:t xml:space="preserve">  At 48</w:t>
      </w:r>
      <w:r w:rsidR="00FE647D">
        <w:rPr>
          <w:sz w:val="24"/>
          <w:szCs w:val="24"/>
        </w:rPr>
        <w:t xml:space="preserve"> </w:t>
      </w:r>
      <w:r w:rsidRPr="00D04182">
        <w:rPr>
          <w:sz w:val="24"/>
          <w:szCs w:val="24"/>
        </w:rPr>
        <w:t>h post transfection, cells were harvested and analyzed by immunoblot with anti-</w:t>
      </w:r>
      <w:proofErr w:type="spellStart"/>
      <w:r w:rsidRPr="00D04182">
        <w:rPr>
          <w:sz w:val="24"/>
          <w:szCs w:val="24"/>
        </w:rPr>
        <w:t>Crk</w:t>
      </w:r>
      <w:proofErr w:type="spellEnd"/>
      <w:r w:rsidRPr="00D04182">
        <w:rPr>
          <w:sz w:val="24"/>
          <w:szCs w:val="24"/>
        </w:rPr>
        <w:t xml:space="preserve"> and anti-Nup62 </w:t>
      </w:r>
      <w:r w:rsidR="00FE647D">
        <w:rPr>
          <w:sz w:val="24"/>
          <w:szCs w:val="24"/>
        </w:rPr>
        <w:t>(loading control)</w:t>
      </w:r>
      <w:r w:rsidR="00991E93">
        <w:rPr>
          <w:sz w:val="24"/>
          <w:szCs w:val="24"/>
        </w:rPr>
        <w:t xml:space="preserve"> </w:t>
      </w:r>
      <w:r w:rsidRPr="00D04182">
        <w:rPr>
          <w:sz w:val="24"/>
          <w:szCs w:val="24"/>
        </w:rPr>
        <w:t>(Mab414, Covance, Princeton, NJ, USA).  For IFU assay, cells were infected with wild type LGV-L2 at an MOI &lt; 1 for 28 h</w:t>
      </w:r>
      <w:r w:rsidR="00991E93">
        <w:rPr>
          <w:sz w:val="24"/>
          <w:szCs w:val="24"/>
        </w:rPr>
        <w:t>ou</w:t>
      </w:r>
      <w:r w:rsidRPr="00D04182">
        <w:rPr>
          <w:sz w:val="24"/>
          <w:szCs w:val="24"/>
        </w:rPr>
        <w:t>r</w:t>
      </w:r>
      <w:r w:rsidR="00991E93">
        <w:rPr>
          <w:sz w:val="24"/>
          <w:szCs w:val="24"/>
        </w:rPr>
        <w:t>s</w:t>
      </w:r>
      <w:r w:rsidRPr="00D04182">
        <w:rPr>
          <w:sz w:val="24"/>
          <w:szCs w:val="24"/>
        </w:rPr>
        <w:t xml:space="preserve"> after 48 h</w:t>
      </w:r>
      <w:r w:rsidR="00991E93">
        <w:rPr>
          <w:sz w:val="24"/>
          <w:szCs w:val="24"/>
        </w:rPr>
        <w:t>ou</w:t>
      </w:r>
      <w:r w:rsidRPr="00D04182">
        <w:rPr>
          <w:sz w:val="24"/>
          <w:szCs w:val="24"/>
        </w:rPr>
        <w:t>r</w:t>
      </w:r>
      <w:r w:rsidR="00991E93">
        <w:rPr>
          <w:sz w:val="24"/>
          <w:szCs w:val="24"/>
        </w:rPr>
        <w:t>s</w:t>
      </w:r>
      <w:r w:rsidRPr="00D04182">
        <w:rPr>
          <w:sz w:val="24"/>
          <w:szCs w:val="24"/>
        </w:rPr>
        <w:t xml:space="preserve"> of </w:t>
      </w:r>
      <w:proofErr w:type="spellStart"/>
      <w:r w:rsidRPr="00D04182">
        <w:rPr>
          <w:sz w:val="24"/>
          <w:szCs w:val="24"/>
        </w:rPr>
        <w:t>siRNA</w:t>
      </w:r>
      <w:proofErr w:type="spellEnd"/>
      <w:r w:rsidRPr="00D04182">
        <w:rPr>
          <w:sz w:val="24"/>
          <w:szCs w:val="24"/>
        </w:rPr>
        <w:t xml:space="preserve"> transfection. IFU </w:t>
      </w:r>
      <w:r w:rsidR="00991E93">
        <w:rPr>
          <w:sz w:val="24"/>
          <w:szCs w:val="24"/>
        </w:rPr>
        <w:t>was</w:t>
      </w:r>
      <w:r w:rsidRPr="00D04182">
        <w:rPr>
          <w:sz w:val="24"/>
          <w:szCs w:val="24"/>
        </w:rPr>
        <w:t xml:space="preserve"> determined as described above.</w:t>
      </w:r>
    </w:p>
    <w:p w14:paraId="70F347C3" w14:textId="602B4D58" w:rsidR="00BC634D" w:rsidRPr="008858E1" w:rsidRDefault="00BC634D" w:rsidP="00087C72">
      <w:pPr>
        <w:ind w:left="-720" w:right="-720"/>
        <w:rPr>
          <w:sz w:val="24"/>
          <w:szCs w:val="24"/>
        </w:rPr>
      </w:pPr>
      <w:r w:rsidRPr="00732BB2">
        <w:rPr>
          <w:rFonts w:ascii="Calibri" w:hAnsi="Calibri"/>
          <w:b/>
          <w:sz w:val="24"/>
          <w:szCs w:val="24"/>
        </w:rPr>
        <w:t>Reference</w:t>
      </w:r>
    </w:p>
    <w:p w14:paraId="26BA1399" w14:textId="4014EB3E" w:rsidR="00BC634D" w:rsidRPr="00D04182" w:rsidRDefault="00BC634D" w:rsidP="00087C72">
      <w:pPr>
        <w:ind w:left="-720" w:right="-720"/>
        <w:rPr>
          <w:sz w:val="24"/>
          <w:szCs w:val="24"/>
        </w:rPr>
      </w:pPr>
      <w:r>
        <w:rPr>
          <w:rFonts w:ascii="Calibri" w:hAnsi="Calibri"/>
          <w:noProof/>
          <w:szCs w:val="24"/>
        </w:rPr>
        <w:t xml:space="preserve">1. </w:t>
      </w:r>
      <w:r w:rsidRPr="006B375E">
        <w:rPr>
          <w:rFonts w:ascii="Calibri" w:hAnsi="Calibri"/>
          <w:noProof/>
          <w:szCs w:val="24"/>
        </w:rPr>
        <w:t>Nguyen BD, Valdivia RH (2013) Forward Genetic Approaches in Chlamydia trachomatis. J Vis Exp.</w:t>
      </w:r>
    </w:p>
    <w:p w14:paraId="3DE6CE6B" w14:textId="77777777" w:rsidR="00F73D54" w:rsidRDefault="00F73D54" w:rsidP="00087C72">
      <w:pPr>
        <w:spacing w:line="240" w:lineRule="auto"/>
        <w:ind w:left="-720" w:right="-720"/>
        <w:rPr>
          <w:rFonts w:cs="AdvOT118e7927"/>
          <w:b/>
          <w:sz w:val="24"/>
          <w:szCs w:val="24"/>
        </w:rPr>
      </w:pPr>
      <w:r>
        <w:rPr>
          <w:rFonts w:cs="AdvOT118e7927"/>
          <w:b/>
          <w:sz w:val="24"/>
          <w:szCs w:val="24"/>
        </w:rPr>
        <w:br w:type="page"/>
      </w:r>
    </w:p>
    <w:p w14:paraId="03365B52" w14:textId="7B77D869" w:rsidR="00BA39F4" w:rsidRDefault="00F73D54" w:rsidP="00955E18">
      <w:pPr>
        <w:ind w:left="-720" w:right="-720"/>
        <w:rPr>
          <w:rFonts w:cs="AdvOT118e7927"/>
          <w:b/>
          <w:sz w:val="24"/>
          <w:szCs w:val="24"/>
        </w:rPr>
      </w:pPr>
      <w:r w:rsidRPr="00F613D3">
        <w:rPr>
          <w:rFonts w:cs="AdvOT118e7927"/>
          <w:b/>
          <w:sz w:val="24"/>
          <w:szCs w:val="24"/>
        </w:rPr>
        <w:lastRenderedPageBreak/>
        <w:t xml:space="preserve">SUPPLEMENTARY </w:t>
      </w:r>
      <w:r>
        <w:rPr>
          <w:rFonts w:cs="AdvOT118e7927"/>
          <w:b/>
          <w:sz w:val="24"/>
          <w:szCs w:val="24"/>
        </w:rPr>
        <w:t>FIGURES</w:t>
      </w:r>
    </w:p>
    <w:p w14:paraId="2EEE1A3A" w14:textId="7C69AFE2" w:rsidR="00BA39F4" w:rsidRPr="00955E18" w:rsidRDefault="00855729" w:rsidP="00955E18">
      <w:pPr>
        <w:ind w:left="-720" w:right="-720"/>
        <w:rPr>
          <w:sz w:val="24"/>
          <w:szCs w:val="24"/>
        </w:rPr>
      </w:pPr>
      <w:r w:rsidRPr="00F613D3">
        <w:rPr>
          <w:rFonts w:cs="AdvOT118e7927"/>
          <w:b/>
          <w:sz w:val="24"/>
          <w:szCs w:val="24"/>
        </w:rPr>
        <w:t xml:space="preserve">Figure </w:t>
      </w:r>
      <w:r w:rsidR="00F73D54">
        <w:rPr>
          <w:rFonts w:cs="AdvOT118e7927"/>
          <w:b/>
          <w:sz w:val="24"/>
          <w:szCs w:val="24"/>
        </w:rPr>
        <w:t>S</w:t>
      </w:r>
      <w:r w:rsidRPr="00F613D3">
        <w:rPr>
          <w:rFonts w:cs="AdvOT118e7927"/>
          <w:b/>
          <w:sz w:val="24"/>
          <w:szCs w:val="24"/>
        </w:rPr>
        <w:t>1</w:t>
      </w:r>
      <w:r w:rsidRPr="00F613D3">
        <w:rPr>
          <w:rFonts w:cs="AdvOT118e7927"/>
          <w:sz w:val="24"/>
          <w:szCs w:val="24"/>
        </w:rPr>
        <w:t xml:space="preserve">. </w:t>
      </w:r>
      <w:proofErr w:type="gramStart"/>
      <w:r w:rsidRPr="00297F61">
        <w:rPr>
          <w:rFonts w:cs="AdvOT118e7927"/>
          <w:b/>
          <w:sz w:val="24"/>
          <w:szCs w:val="24"/>
        </w:rPr>
        <w:t>M/Z spectra of T</w:t>
      </w:r>
      <w:r w:rsidR="00F21F56" w:rsidRPr="00297F61">
        <w:rPr>
          <w:rFonts w:cs="AdvOT118e7927"/>
          <w:b/>
          <w:sz w:val="24"/>
          <w:szCs w:val="24"/>
        </w:rPr>
        <w:t>ep</w:t>
      </w:r>
      <w:r w:rsidRPr="00297F61">
        <w:rPr>
          <w:rFonts w:cs="AdvOT118e7927"/>
          <w:b/>
          <w:sz w:val="24"/>
          <w:szCs w:val="24"/>
        </w:rPr>
        <w:t xml:space="preserve">P </w:t>
      </w:r>
      <w:proofErr w:type="spellStart"/>
      <w:r w:rsidRPr="00297F61">
        <w:rPr>
          <w:rFonts w:cs="AdvOT118e7927"/>
          <w:b/>
          <w:sz w:val="24"/>
          <w:szCs w:val="24"/>
        </w:rPr>
        <w:t>phosphopeptides</w:t>
      </w:r>
      <w:proofErr w:type="spellEnd"/>
      <w:r w:rsidRPr="00F613D3">
        <w:rPr>
          <w:rFonts w:cs="AdvOT118e7927"/>
          <w:sz w:val="24"/>
          <w:szCs w:val="24"/>
        </w:rPr>
        <w:t>.</w:t>
      </w:r>
      <w:proofErr w:type="gramEnd"/>
      <w:r w:rsidRPr="00F613D3">
        <w:rPr>
          <w:sz w:val="24"/>
          <w:szCs w:val="24"/>
        </w:rPr>
        <w:t xml:space="preserve"> Endogenous </w:t>
      </w:r>
      <w:proofErr w:type="spellStart"/>
      <w:r w:rsidRPr="00F613D3">
        <w:rPr>
          <w:sz w:val="24"/>
          <w:szCs w:val="24"/>
        </w:rPr>
        <w:t>T</w:t>
      </w:r>
      <w:r w:rsidR="00991E93">
        <w:rPr>
          <w:sz w:val="24"/>
          <w:szCs w:val="24"/>
        </w:rPr>
        <w:t>ep</w:t>
      </w:r>
      <w:r w:rsidRPr="00F613D3">
        <w:rPr>
          <w:sz w:val="24"/>
          <w:szCs w:val="24"/>
        </w:rPr>
        <w:t>P</w:t>
      </w:r>
      <w:proofErr w:type="spellEnd"/>
      <w:r w:rsidRPr="00F613D3">
        <w:rPr>
          <w:sz w:val="24"/>
          <w:szCs w:val="24"/>
        </w:rPr>
        <w:t xml:space="preserve"> was immunoprecipitated at 4 </w:t>
      </w:r>
      <w:proofErr w:type="spellStart"/>
      <w:r w:rsidR="00F21F56">
        <w:rPr>
          <w:sz w:val="24"/>
          <w:szCs w:val="24"/>
        </w:rPr>
        <w:t>hpi</w:t>
      </w:r>
      <w:proofErr w:type="spellEnd"/>
      <w:r w:rsidRPr="00F613D3">
        <w:rPr>
          <w:sz w:val="24"/>
          <w:szCs w:val="24"/>
        </w:rPr>
        <w:t>. The corresponding T</w:t>
      </w:r>
      <w:r w:rsidR="00F21F56">
        <w:rPr>
          <w:sz w:val="24"/>
          <w:szCs w:val="24"/>
        </w:rPr>
        <w:t>ep</w:t>
      </w:r>
      <w:r w:rsidRPr="00F613D3">
        <w:rPr>
          <w:sz w:val="24"/>
          <w:szCs w:val="24"/>
        </w:rPr>
        <w:t xml:space="preserve">P band was excised from the gel, digested with trypsin and </w:t>
      </w:r>
      <w:proofErr w:type="spellStart"/>
      <w:r w:rsidRPr="00F613D3">
        <w:rPr>
          <w:sz w:val="24"/>
          <w:szCs w:val="24"/>
        </w:rPr>
        <w:t>phosphopeptides</w:t>
      </w:r>
      <w:proofErr w:type="spellEnd"/>
      <w:r w:rsidRPr="00F613D3">
        <w:rPr>
          <w:sz w:val="24"/>
          <w:szCs w:val="24"/>
        </w:rPr>
        <w:t xml:space="preserve"> were enriched on a titanium dioxide affinity column, prior to elution and analysis by LC-MS/MS. Four phospho-peptides were detected: two </w:t>
      </w:r>
      <w:proofErr w:type="spellStart"/>
      <w:proofErr w:type="gramStart"/>
      <w:r w:rsidRPr="00F613D3">
        <w:rPr>
          <w:sz w:val="24"/>
          <w:szCs w:val="24"/>
        </w:rPr>
        <w:t>phosphoserine</w:t>
      </w:r>
      <w:proofErr w:type="spellEnd"/>
      <w:r w:rsidRPr="00F613D3">
        <w:rPr>
          <w:sz w:val="24"/>
          <w:szCs w:val="24"/>
        </w:rPr>
        <w:t xml:space="preserve">  and</w:t>
      </w:r>
      <w:proofErr w:type="gramEnd"/>
      <w:r w:rsidRPr="00F613D3">
        <w:rPr>
          <w:sz w:val="24"/>
          <w:szCs w:val="24"/>
        </w:rPr>
        <w:t xml:space="preserve"> two </w:t>
      </w:r>
      <w:proofErr w:type="spellStart"/>
      <w:r w:rsidRPr="00F613D3">
        <w:rPr>
          <w:sz w:val="24"/>
          <w:szCs w:val="24"/>
        </w:rPr>
        <w:t>phosphotyrosine</w:t>
      </w:r>
      <w:proofErr w:type="spellEnd"/>
      <w:r w:rsidRPr="00F613D3">
        <w:rPr>
          <w:sz w:val="24"/>
          <w:szCs w:val="24"/>
        </w:rPr>
        <w:t>. Detected peptides were shown above each spectrum and detected phosphorylation site was underlined. Y-axis is the relative intensity of peaks. X-axis is mass-to-charge ratio (m/z).</w:t>
      </w:r>
    </w:p>
    <w:p w14:paraId="6E1BAF21" w14:textId="1450C4CF" w:rsidR="00BA39F4" w:rsidRPr="00955E18" w:rsidRDefault="004967D3" w:rsidP="00955E18">
      <w:pPr>
        <w:ind w:left="-720" w:right="-720"/>
        <w:rPr>
          <w:sz w:val="24"/>
          <w:szCs w:val="24"/>
        </w:rPr>
      </w:pPr>
      <w:r w:rsidRPr="00F21F56">
        <w:rPr>
          <w:rFonts w:cs="Times New Roman"/>
          <w:b/>
          <w:sz w:val="24"/>
          <w:szCs w:val="24"/>
        </w:rPr>
        <w:t>Figure S</w:t>
      </w:r>
      <w:r>
        <w:rPr>
          <w:rFonts w:cs="Times New Roman"/>
          <w:b/>
          <w:sz w:val="24"/>
          <w:szCs w:val="24"/>
        </w:rPr>
        <w:t>2</w:t>
      </w:r>
      <w:r w:rsidRPr="00F21F56">
        <w:rPr>
          <w:rFonts w:cs="Times New Roman"/>
          <w:sz w:val="24"/>
          <w:szCs w:val="24"/>
        </w:rPr>
        <w:t xml:space="preserve">. </w:t>
      </w:r>
      <w:proofErr w:type="spellStart"/>
      <w:r w:rsidRPr="00841352">
        <w:rPr>
          <w:rFonts w:cs="Times New Roman"/>
          <w:b/>
          <w:sz w:val="24"/>
          <w:szCs w:val="24"/>
        </w:rPr>
        <w:t>Crk</w:t>
      </w:r>
      <w:proofErr w:type="spellEnd"/>
      <w:r w:rsidRPr="00841352">
        <w:rPr>
          <w:rFonts w:cs="Times New Roman"/>
          <w:b/>
          <w:sz w:val="24"/>
          <w:szCs w:val="24"/>
        </w:rPr>
        <w:t xml:space="preserve"> levels remain constant throughout infection.</w:t>
      </w:r>
      <w:r>
        <w:rPr>
          <w:rFonts w:cs="Times New Roman"/>
          <w:sz w:val="24"/>
          <w:szCs w:val="24"/>
        </w:rPr>
        <w:t xml:space="preserve"> </w:t>
      </w:r>
      <w:r w:rsidRPr="00F21F56">
        <w:rPr>
          <w:rFonts w:cs="Times New Roman"/>
          <w:sz w:val="24"/>
          <w:szCs w:val="24"/>
        </w:rPr>
        <w:t>Confluent monolayer of HeLa cells were infected with wild type LGV-L2 at an MOI of 50 and collected at indicated time point</w:t>
      </w:r>
      <w:r>
        <w:rPr>
          <w:rFonts w:cs="Times New Roman"/>
          <w:sz w:val="24"/>
          <w:szCs w:val="24"/>
        </w:rPr>
        <w:t>s</w:t>
      </w:r>
      <w:r w:rsidRPr="00F21F56">
        <w:rPr>
          <w:rFonts w:cs="Times New Roman"/>
          <w:sz w:val="24"/>
          <w:szCs w:val="24"/>
        </w:rPr>
        <w:t xml:space="preserve">. Samples were subjected to immunoblot analysis with antibodies against </w:t>
      </w:r>
      <w:proofErr w:type="spellStart"/>
      <w:r w:rsidRPr="00F21F56">
        <w:rPr>
          <w:rFonts w:cs="Times New Roman"/>
          <w:sz w:val="24"/>
          <w:szCs w:val="24"/>
        </w:rPr>
        <w:t>Crk</w:t>
      </w:r>
      <w:proofErr w:type="spellEnd"/>
      <w:r w:rsidRPr="00F21F56">
        <w:rPr>
          <w:rFonts w:cs="Times New Roman"/>
          <w:sz w:val="24"/>
          <w:szCs w:val="24"/>
        </w:rPr>
        <w:t>, Actin</w:t>
      </w:r>
      <w:r>
        <w:rPr>
          <w:rFonts w:cs="Times New Roman"/>
          <w:sz w:val="24"/>
          <w:szCs w:val="24"/>
        </w:rPr>
        <w:t xml:space="preserve"> and MOMP. C: control uninfected cells.</w:t>
      </w:r>
    </w:p>
    <w:p w14:paraId="4A4717B8" w14:textId="7D8D6FA7" w:rsidR="00BA39F4" w:rsidRPr="00955E18" w:rsidRDefault="00855729" w:rsidP="00955E18">
      <w:pPr>
        <w:ind w:left="-720" w:right="-720"/>
        <w:rPr>
          <w:rFonts w:cs="AdvOT118e7927"/>
          <w:sz w:val="24"/>
          <w:szCs w:val="24"/>
        </w:rPr>
      </w:pPr>
      <w:r w:rsidRPr="00F613D3">
        <w:rPr>
          <w:rFonts w:cs="AdvOT118e7927"/>
          <w:b/>
          <w:sz w:val="24"/>
          <w:szCs w:val="24"/>
        </w:rPr>
        <w:t xml:space="preserve">Figure </w:t>
      </w:r>
      <w:r w:rsidR="00F73D54">
        <w:rPr>
          <w:rFonts w:cs="AdvOT118e7927"/>
          <w:b/>
          <w:sz w:val="24"/>
          <w:szCs w:val="24"/>
        </w:rPr>
        <w:t>S</w:t>
      </w:r>
      <w:r w:rsidR="004967D3">
        <w:rPr>
          <w:rFonts w:cs="AdvOT118e7927"/>
          <w:b/>
          <w:sz w:val="24"/>
          <w:szCs w:val="24"/>
        </w:rPr>
        <w:t>3</w:t>
      </w:r>
      <w:r w:rsidRPr="00F613D3">
        <w:rPr>
          <w:rFonts w:cs="AdvOT118e7927"/>
          <w:sz w:val="24"/>
          <w:szCs w:val="24"/>
        </w:rPr>
        <w:t xml:space="preserve">. </w:t>
      </w:r>
      <w:r w:rsidRPr="00297F61">
        <w:rPr>
          <w:rFonts w:cs="AdvOT118e7927"/>
          <w:b/>
          <w:sz w:val="24"/>
          <w:szCs w:val="24"/>
        </w:rPr>
        <w:t>Recombinant T</w:t>
      </w:r>
      <w:r w:rsidR="00F21F56" w:rsidRPr="00297F61">
        <w:rPr>
          <w:rFonts w:cs="AdvOT118e7927"/>
          <w:b/>
          <w:sz w:val="24"/>
          <w:szCs w:val="24"/>
        </w:rPr>
        <w:t>ep</w:t>
      </w:r>
      <w:r w:rsidRPr="00297F61">
        <w:rPr>
          <w:rFonts w:cs="AdvOT118e7927"/>
          <w:b/>
          <w:sz w:val="24"/>
          <w:szCs w:val="24"/>
        </w:rPr>
        <w:t>P interacts with GST-</w:t>
      </w:r>
      <w:proofErr w:type="spellStart"/>
      <w:r w:rsidRPr="00297F61">
        <w:rPr>
          <w:rFonts w:cs="AdvOT118e7927"/>
          <w:b/>
          <w:sz w:val="24"/>
          <w:szCs w:val="24"/>
        </w:rPr>
        <w:t>Crk</w:t>
      </w:r>
      <w:proofErr w:type="spellEnd"/>
      <w:r w:rsidRPr="00297F61">
        <w:rPr>
          <w:rFonts w:cs="AdvOT118e7927"/>
          <w:b/>
          <w:sz w:val="24"/>
          <w:szCs w:val="24"/>
        </w:rPr>
        <w:t xml:space="preserve"> in a phosphorylation-dependent manner. </w:t>
      </w:r>
      <w:r w:rsidRPr="00F613D3">
        <w:rPr>
          <w:rFonts w:cs="AdvOT118e7927"/>
          <w:sz w:val="24"/>
          <w:szCs w:val="24"/>
        </w:rPr>
        <w:t>Purified GST or GST-</w:t>
      </w:r>
      <w:proofErr w:type="spellStart"/>
      <w:r w:rsidRPr="00F613D3">
        <w:rPr>
          <w:rFonts w:cs="AdvOT118e7927"/>
          <w:sz w:val="24"/>
          <w:szCs w:val="24"/>
        </w:rPr>
        <w:t>Crk</w:t>
      </w:r>
      <w:proofErr w:type="spellEnd"/>
      <w:r w:rsidRPr="00F613D3">
        <w:rPr>
          <w:rFonts w:cs="AdvOT118e7927"/>
          <w:sz w:val="24"/>
          <w:szCs w:val="24"/>
        </w:rPr>
        <w:t xml:space="preserve"> was incubated with purified T</w:t>
      </w:r>
      <w:r w:rsidR="00F21F56">
        <w:rPr>
          <w:rFonts w:cs="AdvOT118e7927"/>
          <w:sz w:val="24"/>
          <w:szCs w:val="24"/>
        </w:rPr>
        <w:t>ep</w:t>
      </w:r>
      <w:r w:rsidRPr="00F613D3">
        <w:rPr>
          <w:rFonts w:cs="AdvOT118e7927"/>
          <w:sz w:val="24"/>
          <w:szCs w:val="24"/>
        </w:rPr>
        <w:t>P</w:t>
      </w:r>
      <w:r w:rsidR="00F21F56">
        <w:rPr>
          <w:rFonts w:cs="AdvOT118e7927"/>
          <w:sz w:val="24"/>
          <w:szCs w:val="24"/>
        </w:rPr>
        <w:t>-6xHis or</w:t>
      </w:r>
      <w:r w:rsidRPr="00F613D3">
        <w:rPr>
          <w:rFonts w:cs="AdvOT118e7927"/>
          <w:sz w:val="24"/>
          <w:szCs w:val="24"/>
        </w:rPr>
        <w:t xml:space="preserve"> purified T</w:t>
      </w:r>
      <w:r w:rsidR="00F60250">
        <w:rPr>
          <w:rFonts w:cs="AdvOT118e7927"/>
          <w:sz w:val="24"/>
          <w:szCs w:val="24"/>
        </w:rPr>
        <w:t>ep</w:t>
      </w:r>
      <w:r w:rsidRPr="00F613D3">
        <w:rPr>
          <w:rFonts w:cs="AdvOT118e7927"/>
          <w:sz w:val="24"/>
          <w:szCs w:val="24"/>
        </w:rPr>
        <w:t>P-6</w:t>
      </w:r>
      <w:r w:rsidR="00F21F56">
        <w:rPr>
          <w:rFonts w:cs="AdvOT118e7927"/>
          <w:sz w:val="24"/>
          <w:szCs w:val="24"/>
        </w:rPr>
        <w:t>x</w:t>
      </w:r>
      <w:r w:rsidRPr="00F613D3">
        <w:rPr>
          <w:rFonts w:cs="AdvOT118e7927"/>
          <w:sz w:val="24"/>
          <w:szCs w:val="24"/>
        </w:rPr>
        <w:t xml:space="preserve">His </w:t>
      </w:r>
      <w:r w:rsidR="00F21F56">
        <w:rPr>
          <w:rFonts w:cs="AdvOT118e7927"/>
          <w:sz w:val="24"/>
          <w:szCs w:val="24"/>
        </w:rPr>
        <w:t xml:space="preserve">that had been </w:t>
      </w:r>
      <w:r w:rsidRPr="00F613D3">
        <w:rPr>
          <w:rFonts w:cs="AdvOT118e7927"/>
          <w:sz w:val="24"/>
          <w:szCs w:val="24"/>
        </w:rPr>
        <w:t xml:space="preserve">phosphorylated </w:t>
      </w:r>
      <w:r w:rsidRPr="00F613D3">
        <w:rPr>
          <w:rFonts w:cs="AdvOT118e7927"/>
          <w:i/>
          <w:sz w:val="24"/>
          <w:szCs w:val="24"/>
        </w:rPr>
        <w:t>in vitro</w:t>
      </w:r>
      <w:r w:rsidR="00F21F56">
        <w:rPr>
          <w:rFonts w:cs="AdvOT118e7927"/>
          <w:i/>
          <w:sz w:val="24"/>
          <w:szCs w:val="24"/>
        </w:rPr>
        <w:t xml:space="preserve">. </w:t>
      </w:r>
      <w:r w:rsidRPr="00F613D3">
        <w:rPr>
          <w:rFonts w:cs="AdvOT118e7927"/>
          <w:sz w:val="24"/>
          <w:szCs w:val="24"/>
        </w:rPr>
        <w:t xml:space="preserve"> </w:t>
      </w:r>
      <w:r w:rsidR="00F21F56">
        <w:rPr>
          <w:rFonts w:cs="AdvOT118e7927"/>
          <w:sz w:val="24"/>
          <w:szCs w:val="24"/>
        </w:rPr>
        <w:t>One sample of phosphorylated TepP-6xHis was</w:t>
      </w:r>
      <w:r w:rsidRPr="00F613D3">
        <w:rPr>
          <w:rFonts w:cs="AdvOT118e7927"/>
          <w:sz w:val="24"/>
          <w:szCs w:val="24"/>
        </w:rPr>
        <w:t xml:space="preserve"> treat</w:t>
      </w:r>
      <w:r w:rsidR="00F21F56">
        <w:rPr>
          <w:rFonts w:cs="AdvOT118e7927"/>
          <w:sz w:val="24"/>
          <w:szCs w:val="24"/>
        </w:rPr>
        <w:t>ed</w:t>
      </w:r>
      <w:r w:rsidRPr="00F613D3">
        <w:rPr>
          <w:rFonts w:cs="AdvOT118e7927"/>
          <w:sz w:val="24"/>
          <w:szCs w:val="24"/>
        </w:rPr>
        <w:t xml:space="preserve"> with </w:t>
      </w:r>
      <w:r w:rsidR="00F21F56">
        <w:rPr>
          <w:rFonts w:cs="AdvOT118e7927"/>
          <w:sz w:val="24"/>
          <w:szCs w:val="24"/>
        </w:rPr>
        <w:t xml:space="preserve">Calf intestinal </w:t>
      </w:r>
      <w:r w:rsidRPr="00F613D3">
        <w:rPr>
          <w:rFonts w:cs="AdvOT118e7927"/>
          <w:sz w:val="24"/>
          <w:szCs w:val="24"/>
        </w:rPr>
        <w:t>Alkaline Phosphatase (</w:t>
      </w:r>
      <w:proofErr w:type="spellStart"/>
      <w:r w:rsidRPr="00F613D3">
        <w:rPr>
          <w:rFonts w:cs="AdvOT118e7927"/>
          <w:sz w:val="24"/>
          <w:szCs w:val="24"/>
        </w:rPr>
        <w:t>PPase</w:t>
      </w:r>
      <w:proofErr w:type="spellEnd"/>
      <w:r w:rsidRPr="00F613D3">
        <w:rPr>
          <w:rFonts w:cs="AdvOT118e7927"/>
          <w:sz w:val="24"/>
          <w:szCs w:val="24"/>
        </w:rPr>
        <w:t xml:space="preserve">). </w:t>
      </w:r>
      <w:r w:rsidR="00841352">
        <w:rPr>
          <w:rFonts w:cs="AdvOT118e7927"/>
          <w:sz w:val="24"/>
          <w:szCs w:val="24"/>
        </w:rPr>
        <w:t xml:space="preserve"> </w:t>
      </w:r>
      <w:r w:rsidRPr="00F613D3">
        <w:rPr>
          <w:rFonts w:cs="AdvOT118e7927"/>
          <w:sz w:val="24"/>
          <w:szCs w:val="24"/>
        </w:rPr>
        <w:t>The efficiency of T</w:t>
      </w:r>
      <w:r w:rsidR="00F21F56">
        <w:rPr>
          <w:rFonts w:cs="AdvOT118e7927"/>
          <w:sz w:val="24"/>
          <w:szCs w:val="24"/>
        </w:rPr>
        <w:t>ep</w:t>
      </w:r>
      <w:r w:rsidRPr="00F613D3">
        <w:rPr>
          <w:rFonts w:cs="AdvOT118e7927"/>
          <w:sz w:val="24"/>
          <w:szCs w:val="24"/>
        </w:rPr>
        <w:t>P co-precipitation with GST-</w:t>
      </w:r>
      <w:proofErr w:type="spellStart"/>
      <w:r w:rsidRPr="00F613D3">
        <w:rPr>
          <w:rFonts w:cs="AdvOT118e7927"/>
          <w:sz w:val="24"/>
          <w:szCs w:val="24"/>
        </w:rPr>
        <w:t>Crk</w:t>
      </w:r>
      <w:proofErr w:type="spellEnd"/>
      <w:r w:rsidRPr="00F613D3">
        <w:rPr>
          <w:rFonts w:cs="AdvOT118e7927"/>
          <w:sz w:val="24"/>
          <w:szCs w:val="24"/>
        </w:rPr>
        <w:t xml:space="preserve"> increased after </w:t>
      </w:r>
      <w:r w:rsidRPr="00F613D3">
        <w:rPr>
          <w:rFonts w:cs="AdvOT118e7927"/>
          <w:i/>
          <w:sz w:val="24"/>
          <w:szCs w:val="24"/>
        </w:rPr>
        <w:t>in vitro</w:t>
      </w:r>
      <w:r w:rsidRPr="00F613D3">
        <w:rPr>
          <w:rFonts w:cs="AdvOT118e7927"/>
          <w:sz w:val="24"/>
          <w:szCs w:val="24"/>
        </w:rPr>
        <w:t xml:space="preserve"> phosphorylation.  </w:t>
      </w:r>
      <w:proofErr w:type="spellStart"/>
      <w:r w:rsidR="00991E93">
        <w:rPr>
          <w:rFonts w:cs="AdvOT118e7927"/>
          <w:sz w:val="24"/>
          <w:szCs w:val="24"/>
        </w:rPr>
        <w:t>De</w:t>
      </w:r>
      <w:r w:rsidR="00841352">
        <w:rPr>
          <w:rFonts w:cs="AdvOT118e7927"/>
          <w:sz w:val="24"/>
          <w:szCs w:val="24"/>
        </w:rPr>
        <w:t>phosphorylation</w:t>
      </w:r>
      <w:proofErr w:type="spellEnd"/>
      <w:r w:rsidRPr="00F613D3">
        <w:rPr>
          <w:rFonts w:cs="AdvOT118e7927"/>
          <w:sz w:val="24"/>
          <w:szCs w:val="24"/>
        </w:rPr>
        <w:t xml:space="preserve"> with </w:t>
      </w:r>
      <w:proofErr w:type="spellStart"/>
      <w:r w:rsidRPr="00F613D3">
        <w:rPr>
          <w:rFonts w:cs="AdvOT118e7927"/>
          <w:sz w:val="24"/>
          <w:szCs w:val="24"/>
        </w:rPr>
        <w:t>PPase</w:t>
      </w:r>
      <w:proofErr w:type="spellEnd"/>
      <w:r w:rsidRPr="00F613D3">
        <w:rPr>
          <w:rFonts w:cs="AdvOT118e7927"/>
          <w:sz w:val="24"/>
          <w:szCs w:val="24"/>
        </w:rPr>
        <w:t xml:space="preserve"> decreased the efficiency of GST-</w:t>
      </w:r>
      <w:proofErr w:type="spellStart"/>
      <w:r w:rsidRPr="00F613D3">
        <w:rPr>
          <w:rFonts w:cs="AdvOT118e7927"/>
          <w:sz w:val="24"/>
          <w:szCs w:val="24"/>
        </w:rPr>
        <w:t>Crk</w:t>
      </w:r>
      <w:proofErr w:type="spellEnd"/>
      <w:r w:rsidRPr="00F613D3">
        <w:rPr>
          <w:rFonts w:cs="AdvOT118e7927"/>
          <w:sz w:val="24"/>
          <w:szCs w:val="24"/>
        </w:rPr>
        <w:t xml:space="preserve"> co-precipitation.</w:t>
      </w:r>
    </w:p>
    <w:p w14:paraId="541D6A37" w14:textId="6BB0DF77" w:rsidR="00BA39F4" w:rsidRPr="00955E18" w:rsidRDefault="00855729" w:rsidP="00955E18">
      <w:pPr>
        <w:ind w:left="-720" w:right="-720"/>
      </w:pPr>
      <w:r w:rsidRPr="00F613D3">
        <w:rPr>
          <w:rFonts w:cs="AdvOT118e7927"/>
          <w:b/>
          <w:sz w:val="24"/>
          <w:szCs w:val="24"/>
        </w:rPr>
        <w:t xml:space="preserve">Figure </w:t>
      </w:r>
      <w:r w:rsidR="00F73D54">
        <w:rPr>
          <w:rFonts w:cs="AdvOT118e7927"/>
          <w:b/>
          <w:sz w:val="24"/>
          <w:szCs w:val="24"/>
        </w:rPr>
        <w:t>S</w:t>
      </w:r>
      <w:r w:rsidR="004967D3">
        <w:rPr>
          <w:rFonts w:cs="AdvOT118e7927"/>
          <w:b/>
          <w:sz w:val="24"/>
          <w:szCs w:val="24"/>
        </w:rPr>
        <w:t>4</w:t>
      </w:r>
      <w:r w:rsidRPr="00F613D3">
        <w:rPr>
          <w:rFonts w:cs="AdvOT118e7927"/>
          <w:b/>
          <w:sz w:val="24"/>
          <w:szCs w:val="24"/>
        </w:rPr>
        <w:t>.</w:t>
      </w:r>
      <w:r w:rsidRPr="00F613D3">
        <w:rPr>
          <w:rFonts w:cs="AdvOT118e7927"/>
          <w:sz w:val="24"/>
          <w:szCs w:val="24"/>
        </w:rPr>
        <w:t xml:space="preserve"> </w:t>
      </w:r>
      <w:r w:rsidRPr="00297F61">
        <w:rPr>
          <w:rFonts w:cs="AdvOT118e7927"/>
          <w:b/>
          <w:i/>
          <w:sz w:val="24"/>
          <w:szCs w:val="24"/>
        </w:rPr>
        <w:t xml:space="preserve">C. </w:t>
      </w:r>
      <w:proofErr w:type="gramStart"/>
      <w:r w:rsidRPr="00297F61">
        <w:rPr>
          <w:rFonts w:cs="AdvOT118e7927"/>
          <w:b/>
          <w:i/>
          <w:sz w:val="24"/>
          <w:szCs w:val="24"/>
        </w:rPr>
        <w:t>trachomatis</w:t>
      </w:r>
      <w:proofErr w:type="gramEnd"/>
      <w:r w:rsidRPr="00297F61">
        <w:rPr>
          <w:rFonts w:cs="AdvOT118e7927"/>
          <w:b/>
          <w:sz w:val="24"/>
          <w:szCs w:val="24"/>
        </w:rPr>
        <w:t xml:space="preserve"> recombinant harboring a </w:t>
      </w:r>
      <w:r w:rsidRPr="00297F61">
        <w:rPr>
          <w:rFonts w:cs="AdvOT118e7927"/>
          <w:b/>
          <w:i/>
          <w:sz w:val="24"/>
          <w:szCs w:val="24"/>
        </w:rPr>
        <w:t xml:space="preserve">tepP </w:t>
      </w:r>
      <w:r w:rsidRPr="00297F61">
        <w:rPr>
          <w:rFonts w:cs="AdvOT118e7927"/>
          <w:b/>
          <w:sz w:val="24"/>
          <w:szCs w:val="24"/>
        </w:rPr>
        <w:t>null allele (</w:t>
      </w:r>
      <w:r w:rsidRPr="00297F61">
        <w:rPr>
          <w:rFonts w:cs="AdvOT118e7927"/>
          <w:b/>
          <w:i/>
          <w:sz w:val="24"/>
          <w:szCs w:val="24"/>
        </w:rPr>
        <w:t>tepP</w:t>
      </w:r>
      <w:r w:rsidRPr="00297F61">
        <w:rPr>
          <w:rFonts w:cs="AdvOT118e7927"/>
          <w:b/>
          <w:sz w:val="24"/>
          <w:szCs w:val="24"/>
        </w:rPr>
        <w:t xml:space="preserve"> W103*) do</w:t>
      </w:r>
      <w:r w:rsidR="00991E93">
        <w:rPr>
          <w:rFonts w:cs="AdvOT118e7927"/>
          <w:b/>
          <w:sz w:val="24"/>
          <w:szCs w:val="24"/>
        </w:rPr>
        <w:t>es</w:t>
      </w:r>
      <w:r w:rsidRPr="00297F61">
        <w:rPr>
          <w:rFonts w:cs="AdvOT118e7927"/>
          <w:b/>
          <w:sz w:val="24"/>
          <w:szCs w:val="24"/>
        </w:rPr>
        <w:t xml:space="preserve"> not express full length T</w:t>
      </w:r>
      <w:r w:rsidR="001D57A5">
        <w:rPr>
          <w:rFonts w:cs="AdvOT118e7927"/>
          <w:b/>
          <w:sz w:val="24"/>
          <w:szCs w:val="24"/>
        </w:rPr>
        <w:t>ep</w:t>
      </w:r>
      <w:r w:rsidRPr="00297F61">
        <w:rPr>
          <w:rFonts w:cs="AdvOT118e7927"/>
          <w:b/>
          <w:sz w:val="24"/>
          <w:szCs w:val="24"/>
        </w:rPr>
        <w:t xml:space="preserve">P. </w:t>
      </w:r>
      <w:r w:rsidRPr="00F613D3">
        <w:rPr>
          <w:sz w:val="24"/>
          <w:szCs w:val="24"/>
        </w:rPr>
        <w:t xml:space="preserve">EBs of four recombinants </w:t>
      </w:r>
      <w:proofErr w:type="gramStart"/>
      <w:r w:rsidR="00991E93">
        <w:rPr>
          <w:sz w:val="24"/>
          <w:szCs w:val="24"/>
        </w:rPr>
        <w:t>were</w:t>
      </w:r>
      <w:proofErr w:type="gramEnd"/>
      <w:r w:rsidR="00991E93">
        <w:rPr>
          <w:sz w:val="24"/>
          <w:szCs w:val="24"/>
        </w:rPr>
        <w:t xml:space="preserve"> </w:t>
      </w:r>
      <w:r w:rsidRPr="00F613D3">
        <w:rPr>
          <w:sz w:val="24"/>
          <w:szCs w:val="24"/>
        </w:rPr>
        <w:t>selected from a co-infection setting between CTL2</w:t>
      </w:r>
      <w:r w:rsidR="000028B1">
        <w:rPr>
          <w:sz w:val="24"/>
          <w:szCs w:val="24"/>
        </w:rPr>
        <w:t>-</w:t>
      </w:r>
      <w:r w:rsidRPr="00F613D3">
        <w:rPr>
          <w:sz w:val="24"/>
          <w:szCs w:val="24"/>
        </w:rPr>
        <w:t xml:space="preserve">M062 </w:t>
      </w:r>
      <w:r w:rsidR="000028B1" w:rsidRPr="00F613D3">
        <w:rPr>
          <w:rFonts w:cs="AdvOT118e7927"/>
          <w:sz w:val="24"/>
          <w:szCs w:val="24"/>
        </w:rPr>
        <w:t>(</w:t>
      </w:r>
      <w:proofErr w:type="spellStart"/>
      <w:r w:rsidR="000028B1" w:rsidRPr="00F613D3">
        <w:rPr>
          <w:rFonts w:cs="AdvOT118e7927"/>
          <w:sz w:val="24"/>
          <w:szCs w:val="24"/>
        </w:rPr>
        <w:t>Rif</w:t>
      </w:r>
      <w:r w:rsidR="000028B1" w:rsidRPr="00F613D3">
        <w:rPr>
          <w:rFonts w:cs="AdvOT118e7927"/>
          <w:sz w:val="24"/>
          <w:szCs w:val="24"/>
          <w:vertAlign w:val="superscript"/>
        </w:rPr>
        <w:t>r</w:t>
      </w:r>
      <w:proofErr w:type="spellEnd"/>
      <w:r w:rsidR="000028B1" w:rsidRPr="00F613D3">
        <w:rPr>
          <w:rFonts w:cs="AdvOT118e7927"/>
          <w:sz w:val="24"/>
          <w:szCs w:val="24"/>
        </w:rPr>
        <w:t xml:space="preserve">) </w:t>
      </w:r>
      <w:r w:rsidRPr="00F613D3">
        <w:rPr>
          <w:sz w:val="24"/>
          <w:szCs w:val="24"/>
        </w:rPr>
        <w:t xml:space="preserve">and </w:t>
      </w:r>
      <w:r w:rsidR="000028B1">
        <w:rPr>
          <w:sz w:val="24"/>
          <w:szCs w:val="24"/>
        </w:rPr>
        <w:t xml:space="preserve">a </w:t>
      </w:r>
      <w:proofErr w:type="spellStart"/>
      <w:r w:rsidR="000028B1" w:rsidRPr="00F613D3">
        <w:rPr>
          <w:rFonts w:cs="AdvOT118e7927"/>
          <w:sz w:val="24"/>
          <w:szCs w:val="24"/>
        </w:rPr>
        <w:t>Spc</w:t>
      </w:r>
      <w:r w:rsidR="000028B1" w:rsidRPr="00F613D3">
        <w:rPr>
          <w:rFonts w:cs="AdvOT118e7927"/>
          <w:sz w:val="24"/>
          <w:szCs w:val="24"/>
          <w:vertAlign w:val="superscript"/>
        </w:rPr>
        <w:t>r</w:t>
      </w:r>
      <w:proofErr w:type="spellEnd"/>
      <w:r w:rsidR="000028B1" w:rsidRPr="00F613D3">
        <w:rPr>
          <w:rFonts w:cs="AdvOT118e7927"/>
          <w:sz w:val="24"/>
          <w:szCs w:val="24"/>
        </w:rPr>
        <w:t xml:space="preserve"> </w:t>
      </w:r>
      <w:r w:rsidRPr="00F613D3">
        <w:rPr>
          <w:sz w:val="24"/>
          <w:szCs w:val="24"/>
        </w:rPr>
        <w:t xml:space="preserve">LGV-L2 </w:t>
      </w:r>
      <w:r w:rsidR="000028B1">
        <w:rPr>
          <w:sz w:val="24"/>
          <w:szCs w:val="24"/>
        </w:rPr>
        <w:t xml:space="preserve">variant.  Recombinants were </w:t>
      </w:r>
      <w:r w:rsidRPr="00F613D3">
        <w:rPr>
          <w:sz w:val="24"/>
          <w:szCs w:val="24"/>
        </w:rPr>
        <w:t xml:space="preserve">isolated by </w:t>
      </w:r>
      <w:proofErr w:type="spellStart"/>
      <w:r w:rsidRPr="00F613D3">
        <w:rPr>
          <w:sz w:val="24"/>
          <w:szCs w:val="24"/>
        </w:rPr>
        <w:t>plaquing</w:t>
      </w:r>
      <w:proofErr w:type="spellEnd"/>
      <w:r w:rsidRPr="00F613D3">
        <w:rPr>
          <w:sz w:val="24"/>
          <w:szCs w:val="24"/>
        </w:rPr>
        <w:t xml:space="preserve"> on Vero cell monolayers</w:t>
      </w:r>
      <w:r w:rsidR="000028B1">
        <w:rPr>
          <w:sz w:val="24"/>
          <w:szCs w:val="24"/>
        </w:rPr>
        <w:t xml:space="preserve"> in the presence of rifampin and spectinomycin</w:t>
      </w:r>
      <w:r w:rsidRPr="00F613D3">
        <w:rPr>
          <w:sz w:val="24"/>
          <w:szCs w:val="24"/>
        </w:rPr>
        <w:t xml:space="preserve">.  Individual plaques were amplified on Vero cells, and EBs from recombinants with the genotypes shown (also see Fig </w:t>
      </w:r>
      <w:r w:rsidR="00991E93" w:rsidRPr="00F613D3">
        <w:rPr>
          <w:sz w:val="24"/>
          <w:szCs w:val="24"/>
        </w:rPr>
        <w:t>S</w:t>
      </w:r>
      <w:r w:rsidR="00991E93">
        <w:rPr>
          <w:sz w:val="24"/>
          <w:szCs w:val="24"/>
        </w:rPr>
        <w:t>5</w:t>
      </w:r>
      <w:r w:rsidRPr="00F613D3">
        <w:rPr>
          <w:sz w:val="24"/>
          <w:szCs w:val="24"/>
        </w:rPr>
        <w:t xml:space="preserve">) were harvested and purified on density gradients.  EBs were </w:t>
      </w:r>
      <w:proofErr w:type="spellStart"/>
      <w:r w:rsidRPr="00F613D3">
        <w:rPr>
          <w:sz w:val="24"/>
          <w:szCs w:val="24"/>
        </w:rPr>
        <w:t>lyzed</w:t>
      </w:r>
      <w:proofErr w:type="spellEnd"/>
      <w:r w:rsidRPr="00F613D3">
        <w:rPr>
          <w:sz w:val="24"/>
          <w:szCs w:val="24"/>
        </w:rPr>
        <w:t xml:space="preserve"> in SDS sample buffer, and subjected to immunoblot analysis with antibodies against TEPP and </w:t>
      </w:r>
      <w:proofErr w:type="spellStart"/>
      <w:r w:rsidRPr="00F613D3">
        <w:rPr>
          <w:sz w:val="24"/>
          <w:szCs w:val="24"/>
        </w:rPr>
        <w:t>RpoB</w:t>
      </w:r>
      <w:proofErr w:type="spellEnd"/>
      <w:r w:rsidRPr="00F613D3">
        <w:rPr>
          <w:sz w:val="24"/>
          <w:szCs w:val="24"/>
        </w:rPr>
        <w:t>/B’, MOMP and Slc1.</w:t>
      </w:r>
    </w:p>
    <w:p w14:paraId="2F81473A" w14:textId="2B06F0D2" w:rsidR="00BA39F4" w:rsidRPr="00955E18" w:rsidRDefault="00855729" w:rsidP="00955E18">
      <w:pPr>
        <w:ind w:left="-720" w:right="-720"/>
        <w:rPr>
          <w:rFonts w:cs="AdvOT118e7927"/>
          <w:sz w:val="24"/>
          <w:szCs w:val="24"/>
        </w:rPr>
      </w:pPr>
      <w:r w:rsidRPr="00F613D3">
        <w:rPr>
          <w:rFonts w:cs="AdvOT118e7927"/>
          <w:b/>
          <w:sz w:val="24"/>
          <w:szCs w:val="24"/>
        </w:rPr>
        <w:t xml:space="preserve">Figure </w:t>
      </w:r>
      <w:r w:rsidR="00F73D54">
        <w:rPr>
          <w:rFonts w:cs="AdvOT118e7927"/>
          <w:b/>
          <w:sz w:val="24"/>
          <w:szCs w:val="24"/>
        </w:rPr>
        <w:t>S</w:t>
      </w:r>
      <w:r w:rsidR="004967D3">
        <w:rPr>
          <w:rFonts w:cs="AdvOT118e7927"/>
          <w:b/>
          <w:sz w:val="24"/>
          <w:szCs w:val="24"/>
        </w:rPr>
        <w:t>5</w:t>
      </w:r>
      <w:r w:rsidRPr="00F613D3">
        <w:rPr>
          <w:rFonts w:cs="AdvOT118e7927"/>
          <w:sz w:val="24"/>
          <w:szCs w:val="24"/>
        </w:rPr>
        <w:t xml:space="preserve">. </w:t>
      </w:r>
      <w:r w:rsidRPr="00841352">
        <w:rPr>
          <w:rFonts w:cs="AdvOT118e7927"/>
          <w:b/>
          <w:sz w:val="24"/>
          <w:szCs w:val="24"/>
        </w:rPr>
        <w:t xml:space="preserve">Genotype of </w:t>
      </w:r>
      <w:r w:rsidRPr="00841352">
        <w:rPr>
          <w:b/>
          <w:sz w:val="24"/>
          <w:szCs w:val="24"/>
        </w:rPr>
        <w:t xml:space="preserve">recombinant strains harboring </w:t>
      </w:r>
      <w:r w:rsidRPr="00841352">
        <w:rPr>
          <w:rFonts w:cs="AdvOT118e7927"/>
          <w:b/>
          <w:sz w:val="24"/>
          <w:szCs w:val="24"/>
        </w:rPr>
        <w:t>products of a CTL</w:t>
      </w:r>
      <w:r w:rsidR="001D57A5" w:rsidRPr="00841352">
        <w:rPr>
          <w:rFonts w:cs="AdvOT118e7927"/>
          <w:b/>
          <w:sz w:val="24"/>
          <w:szCs w:val="24"/>
        </w:rPr>
        <w:t>2-</w:t>
      </w:r>
      <w:r w:rsidRPr="00841352">
        <w:rPr>
          <w:rFonts w:cs="AdvOT118e7927"/>
          <w:b/>
          <w:sz w:val="24"/>
          <w:szCs w:val="24"/>
        </w:rPr>
        <w:t>M062</w:t>
      </w:r>
      <w:r w:rsidR="00991E93">
        <w:rPr>
          <w:rFonts w:cs="AdvOT118e7927"/>
          <w:b/>
          <w:sz w:val="24"/>
          <w:szCs w:val="24"/>
        </w:rPr>
        <w:t xml:space="preserve"> </w:t>
      </w:r>
      <w:r w:rsidRPr="00841352">
        <w:rPr>
          <w:rFonts w:cs="AdvOT118e7927"/>
          <w:b/>
          <w:sz w:val="24"/>
          <w:szCs w:val="24"/>
        </w:rPr>
        <w:t>(</w:t>
      </w:r>
      <w:proofErr w:type="spellStart"/>
      <w:r w:rsidRPr="00841352">
        <w:rPr>
          <w:rFonts w:cs="AdvOT118e7927"/>
          <w:b/>
          <w:sz w:val="24"/>
          <w:szCs w:val="24"/>
        </w:rPr>
        <w:t>Rif</w:t>
      </w:r>
      <w:r w:rsidRPr="00841352">
        <w:rPr>
          <w:rFonts w:cs="AdvOT118e7927"/>
          <w:b/>
          <w:sz w:val="24"/>
          <w:szCs w:val="24"/>
          <w:vertAlign w:val="superscript"/>
        </w:rPr>
        <w:t>r</w:t>
      </w:r>
      <w:proofErr w:type="spellEnd"/>
      <w:r w:rsidRPr="00841352">
        <w:rPr>
          <w:rFonts w:cs="AdvOT118e7927"/>
          <w:b/>
          <w:sz w:val="24"/>
          <w:szCs w:val="24"/>
        </w:rPr>
        <w:t xml:space="preserve">) </w:t>
      </w:r>
      <w:r w:rsidRPr="00841352">
        <w:rPr>
          <w:rFonts w:cs="AdvOTd877c31c"/>
          <w:b/>
          <w:sz w:val="24"/>
          <w:szCs w:val="24"/>
        </w:rPr>
        <w:t xml:space="preserve">and a LGV-L2 </w:t>
      </w:r>
      <w:proofErr w:type="spellStart"/>
      <w:r w:rsidRPr="00841352">
        <w:rPr>
          <w:rFonts w:cs="AdvOT118e7927"/>
          <w:b/>
          <w:sz w:val="24"/>
          <w:szCs w:val="24"/>
        </w:rPr>
        <w:t>Spc</w:t>
      </w:r>
      <w:r w:rsidRPr="00841352">
        <w:rPr>
          <w:rFonts w:cs="AdvOT118e7927"/>
          <w:b/>
          <w:sz w:val="24"/>
          <w:szCs w:val="24"/>
          <w:vertAlign w:val="superscript"/>
        </w:rPr>
        <w:t>r</w:t>
      </w:r>
      <w:proofErr w:type="spellEnd"/>
      <w:r w:rsidRPr="00841352">
        <w:rPr>
          <w:rFonts w:cs="AdvOT118e7927"/>
          <w:b/>
          <w:sz w:val="24"/>
          <w:szCs w:val="24"/>
        </w:rPr>
        <w:t xml:space="preserve"> co-infection</w:t>
      </w:r>
      <w:r w:rsidRPr="00F613D3">
        <w:rPr>
          <w:rFonts w:cs="AdvOT118e7927"/>
          <w:sz w:val="24"/>
          <w:szCs w:val="24"/>
        </w:rPr>
        <w:t>. Black shading indicates single nucleotide variants (SNV) present in CTL</w:t>
      </w:r>
      <w:r w:rsidR="001D57A5">
        <w:rPr>
          <w:rFonts w:cs="AdvOT118e7927"/>
          <w:sz w:val="24"/>
          <w:szCs w:val="24"/>
        </w:rPr>
        <w:t>2-</w:t>
      </w:r>
      <w:r w:rsidRPr="00F613D3">
        <w:rPr>
          <w:rFonts w:cs="AdvOT118e7927"/>
          <w:sz w:val="24"/>
          <w:szCs w:val="24"/>
        </w:rPr>
        <w:t xml:space="preserve">M062. Each SNV was verified by Sanger sequencing. </w:t>
      </w:r>
    </w:p>
    <w:p w14:paraId="2053FF8A" w14:textId="09E4695B" w:rsidR="00855729" w:rsidRPr="00F21F56" w:rsidRDefault="00855729" w:rsidP="00087C72">
      <w:pPr>
        <w:ind w:left="-720" w:right="-720"/>
        <w:rPr>
          <w:sz w:val="24"/>
          <w:szCs w:val="24"/>
        </w:rPr>
      </w:pPr>
      <w:r w:rsidRPr="00F21F56">
        <w:rPr>
          <w:rFonts w:cs="Times New Roman"/>
          <w:b/>
          <w:sz w:val="24"/>
          <w:szCs w:val="24"/>
        </w:rPr>
        <w:t xml:space="preserve">Figure </w:t>
      </w:r>
      <w:r w:rsidR="00F21F56">
        <w:rPr>
          <w:rFonts w:cs="Times New Roman"/>
          <w:b/>
          <w:sz w:val="24"/>
          <w:szCs w:val="24"/>
        </w:rPr>
        <w:t>S</w:t>
      </w:r>
      <w:r w:rsidRPr="00F21F56">
        <w:rPr>
          <w:rFonts w:cs="Times New Roman"/>
          <w:b/>
          <w:sz w:val="24"/>
          <w:szCs w:val="24"/>
        </w:rPr>
        <w:t>6.</w:t>
      </w:r>
      <w:r w:rsidRPr="00F21F56">
        <w:rPr>
          <w:rFonts w:cs="Times New Roman"/>
          <w:sz w:val="24"/>
          <w:szCs w:val="24"/>
        </w:rPr>
        <w:t xml:space="preserve"> </w:t>
      </w:r>
      <w:r w:rsidR="00564B48" w:rsidRPr="00841352">
        <w:rPr>
          <w:rFonts w:cs="Times New Roman"/>
          <w:b/>
          <w:sz w:val="24"/>
          <w:szCs w:val="24"/>
        </w:rPr>
        <w:t>Replication potential of</w:t>
      </w:r>
      <w:r w:rsidRPr="00841352">
        <w:rPr>
          <w:rFonts w:cs="Times New Roman"/>
          <w:b/>
          <w:sz w:val="24"/>
          <w:szCs w:val="24"/>
        </w:rPr>
        <w:t xml:space="preserve"> </w:t>
      </w:r>
      <w:r w:rsidR="00564B48" w:rsidRPr="00841352">
        <w:rPr>
          <w:rFonts w:cs="Times New Roman"/>
          <w:b/>
          <w:sz w:val="24"/>
          <w:szCs w:val="24"/>
        </w:rPr>
        <w:t xml:space="preserve">LGV-L2 in </w:t>
      </w:r>
      <w:proofErr w:type="spellStart"/>
      <w:r w:rsidR="00564B48" w:rsidRPr="00841352">
        <w:rPr>
          <w:rFonts w:cs="Times New Roman"/>
          <w:b/>
          <w:sz w:val="24"/>
          <w:szCs w:val="24"/>
        </w:rPr>
        <w:t>Crk</w:t>
      </w:r>
      <w:proofErr w:type="spellEnd"/>
      <w:r w:rsidR="00564B48" w:rsidRPr="00841352">
        <w:rPr>
          <w:rFonts w:cs="Times New Roman"/>
          <w:b/>
          <w:sz w:val="24"/>
          <w:szCs w:val="24"/>
        </w:rPr>
        <w:t xml:space="preserve"> knockdown cells and </w:t>
      </w:r>
      <w:proofErr w:type="gramStart"/>
      <w:r w:rsidR="00564B48" w:rsidRPr="00841352">
        <w:rPr>
          <w:rFonts w:cs="Times New Roman"/>
          <w:b/>
          <w:i/>
          <w:sz w:val="24"/>
          <w:szCs w:val="24"/>
        </w:rPr>
        <w:t>tepP</w:t>
      </w:r>
      <w:proofErr w:type="gramEnd"/>
      <w:r w:rsidR="00564B48" w:rsidRPr="00841352">
        <w:rPr>
          <w:rFonts w:cs="Times New Roman"/>
          <w:b/>
          <w:sz w:val="24"/>
          <w:szCs w:val="24"/>
        </w:rPr>
        <w:t xml:space="preserve"> </w:t>
      </w:r>
      <w:r w:rsidRPr="00841352">
        <w:rPr>
          <w:rFonts w:cs="Times New Roman"/>
          <w:b/>
          <w:sz w:val="24"/>
          <w:szCs w:val="24"/>
        </w:rPr>
        <w:t>mutant</w:t>
      </w:r>
      <w:r w:rsidR="00564B48" w:rsidRPr="00841352">
        <w:rPr>
          <w:rFonts w:cs="Times New Roman"/>
          <w:b/>
          <w:sz w:val="24"/>
          <w:szCs w:val="24"/>
        </w:rPr>
        <w:t>s in epithelial cells</w:t>
      </w:r>
      <w:r w:rsidRPr="00F21F56">
        <w:rPr>
          <w:rFonts w:cs="Times New Roman"/>
          <w:sz w:val="24"/>
          <w:szCs w:val="24"/>
        </w:rPr>
        <w:t xml:space="preserve">. </w:t>
      </w:r>
      <w:r w:rsidR="00564B48">
        <w:rPr>
          <w:rFonts w:cs="Times New Roman"/>
          <w:sz w:val="24"/>
          <w:szCs w:val="24"/>
        </w:rPr>
        <w:t xml:space="preserve"> A</w:t>
      </w:r>
      <w:r w:rsidRPr="00F21F56">
        <w:rPr>
          <w:rFonts w:cs="Times New Roman"/>
          <w:sz w:val="24"/>
          <w:szCs w:val="24"/>
        </w:rPr>
        <w:t xml:space="preserve">) </w:t>
      </w:r>
      <w:r w:rsidR="00275589">
        <w:rPr>
          <w:rFonts w:cs="Times New Roman"/>
          <w:sz w:val="24"/>
          <w:szCs w:val="24"/>
        </w:rPr>
        <w:t xml:space="preserve">Transfection of </w:t>
      </w:r>
      <w:proofErr w:type="spellStart"/>
      <w:r w:rsidRPr="00F21F56">
        <w:rPr>
          <w:rFonts w:cs="Times New Roman"/>
          <w:sz w:val="24"/>
          <w:szCs w:val="24"/>
        </w:rPr>
        <w:t>Crk</w:t>
      </w:r>
      <w:proofErr w:type="spellEnd"/>
      <w:r w:rsidRPr="00F21F56">
        <w:rPr>
          <w:rFonts w:cs="Times New Roman"/>
          <w:sz w:val="24"/>
          <w:szCs w:val="24"/>
        </w:rPr>
        <w:t xml:space="preserve"> </w:t>
      </w:r>
      <w:proofErr w:type="spellStart"/>
      <w:r w:rsidRPr="00F21F56">
        <w:rPr>
          <w:rFonts w:cs="Times New Roman"/>
          <w:sz w:val="24"/>
          <w:szCs w:val="24"/>
        </w:rPr>
        <w:t>siRNA</w:t>
      </w:r>
      <w:r w:rsidR="00275589">
        <w:rPr>
          <w:rFonts w:cs="Times New Roman"/>
          <w:sz w:val="24"/>
          <w:szCs w:val="24"/>
        </w:rPr>
        <w:t>s</w:t>
      </w:r>
      <w:proofErr w:type="spellEnd"/>
      <w:r w:rsidRPr="00F21F56">
        <w:rPr>
          <w:rFonts w:cs="Times New Roman"/>
          <w:sz w:val="24"/>
          <w:szCs w:val="24"/>
        </w:rPr>
        <w:t xml:space="preserve"> decreased the expression level of both </w:t>
      </w:r>
      <w:proofErr w:type="spellStart"/>
      <w:r w:rsidRPr="00F21F56">
        <w:rPr>
          <w:rFonts w:cs="Times New Roman"/>
          <w:sz w:val="24"/>
          <w:szCs w:val="24"/>
        </w:rPr>
        <w:t>CrkI</w:t>
      </w:r>
      <w:proofErr w:type="spellEnd"/>
      <w:r w:rsidRPr="00F21F56">
        <w:rPr>
          <w:rFonts w:cs="Times New Roman"/>
          <w:sz w:val="24"/>
          <w:szCs w:val="24"/>
        </w:rPr>
        <w:t xml:space="preserve"> and </w:t>
      </w:r>
      <w:proofErr w:type="spellStart"/>
      <w:r w:rsidRPr="00F21F56">
        <w:rPr>
          <w:rFonts w:cs="Times New Roman"/>
          <w:sz w:val="24"/>
          <w:szCs w:val="24"/>
        </w:rPr>
        <w:t>CrkII</w:t>
      </w:r>
      <w:proofErr w:type="spellEnd"/>
      <w:r w:rsidRPr="00F21F56">
        <w:rPr>
          <w:rFonts w:cs="Times New Roman"/>
          <w:sz w:val="24"/>
          <w:szCs w:val="24"/>
        </w:rPr>
        <w:t xml:space="preserve"> in HeLa cells. Upper panel is the immunoblot analysis of HeLa cells transfected with </w:t>
      </w:r>
      <w:r w:rsidR="00275589">
        <w:rPr>
          <w:rFonts w:cs="Times New Roman"/>
          <w:sz w:val="24"/>
          <w:szCs w:val="24"/>
        </w:rPr>
        <w:t xml:space="preserve">two different </w:t>
      </w:r>
      <w:proofErr w:type="spellStart"/>
      <w:r w:rsidRPr="00F21F56">
        <w:rPr>
          <w:rFonts w:cs="Times New Roman"/>
          <w:sz w:val="24"/>
          <w:szCs w:val="24"/>
        </w:rPr>
        <w:t>Crk</w:t>
      </w:r>
      <w:proofErr w:type="spellEnd"/>
      <w:r w:rsidRPr="00F21F56">
        <w:rPr>
          <w:rFonts w:cs="Times New Roman"/>
          <w:sz w:val="24"/>
          <w:szCs w:val="24"/>
        </w:rPr>
        <w:t xml:space="preserve"> </w:t>
      </w:r>
      <w:proofErr w:type="spellStart"/>
      <w:r w:rsidRPr="00F21F56">
        <w:rPr>
          <w:rFonts w:cs="Times New Roman"/>
          <w:sz w:val="24"/>
          <w:szCs w:val="24"/>
        </w:rPr>
        <w:t>siRNA</w:t>
      </w:r>
      <w:r w:rsidR="00F60250">
        <w:rPr>
          <w:rFonts w:cs="Times New Roman"/>
          <w:sz w:val="24"/>
          <w:szCs w:val="24"/>
        </w:rPr>
        <w:t>s</w:t>
      </w:r>
      <w:proofErr w:type="spellEnd"/>
      <w:r w:rsidR="00F60250">
        <w:rPr>
          <w:rFonts w:cs="Times New Roman"/>
          <w:sz w:val="24"/>
          <w:szCs w:val="24"/>
        </w:rPr>
        <w:t xml:space="preserve"> (3 and 5</w:t>
      </w:r>
      <w:r w:rsidR="00275589">
        <w:rPr>
          <w:rFonts w:cs="Times New Roman"/>
          <w:sz w:val="24"/>
          <w:szCs w:val="24"/>
        </w:rPr>
        <w:t>)</w:t>
      </w:r>
      <w:r w:rsidRPr="00F21F56">
        <w:rPr>
          <w:rFonts w:cs="Times New Roman"/>
          <w:sz w:val="24"/>
          <w:szCs w:val="24"/>
        </w:rPr>
        <w:t xml:space="preserve"> or negative control </w:t>
      </w:r>
      <w:proofErr w:type="spellStart"/>
      <w:r w:rsidRPr="00F21F56">
        <w:rPr>
          <w:rFonts w:cs="Times New Roman"/>
          <w:sz w:val="24"/>
          <w:szCs w:val="24"/>
        </w:rPr>
        <w:t>siRNA</w:t>
      </w:r>
      <w:proofErr w:type="spellEnd"/>
      <w:r w:rsidRPr="00F21F56">
        <w:rPr>
          <w:rFonts w:cs="Times New Roman"/>
          <w:sz w:val="24"/>
          <w:szCs w:val="24"/>
        </w:rPr>
        <w:t xml:space="preserve"> (NC) for 48 h. </w:t>
      </w:r>
      <w:r w:rsidR="00275589">
        <w:rPr>
          <w:rFonts w:cs="Times New Roman"/>
          <w:sz w:val="24"/>
          <w:szCs w:val="24"/>
        </w:rPr>
        <w:t xml:space="preserve">Total cell lysates were </w:t>
      </w:r>
      <w:r w:rsidRPr="00F21F56">
        <w:rPr>
          <w:rFonts w:cs="Times New Roman"/>
          <w:sz w:val="24"/>
          <w:szCs w:val="24"/>
        </w:rPr>
        <w:t xml:space="preserve">probed </w:t>
      </w:r>
      <w:r w:rsidR="00275589">
        <w:rPr>
          <w:rFonts w:cs="Times New Roman"/>
          <w:sz w:val="24"/>
          <w:szCs w:val="24"/>
        </w:rPr>
        <w:t>with anti-</w:t>
      </w:r>
      <w:proofErr w:type="spellStart"/>
      <w:r w:rsidRPr="00F21F56">
        <w:rPr>
          <w:rFonts w:cs="Times New Roman"/>
          <w:sz w:val="24"/>
          <w:szCs w:val="24"/>
        </w:rPr>
        <w:t>Crk</w:t>
      </w:r>
      <w:proofErr w:type="spellEnd"/>
      <w:r w:rsidRPr="00F21F56">
        <w:rPr>
          <w:rFonts w:cs="Times New Roman"/>
          <w:sz w:val="24"/>
          <w:szCs w:val="24"/>
        </w:rPr>
        <w:t xml:space="preserve"> </w:t>
      </w:r>
      <w:r w:rsidR="00F60250">
        <w:rPr>
          <w:rFonts w:cs="Times New Roman"/>
          <w:sz w:val="24"/>
          <w:szCs w:val="24"/>
        </w:rPr>
        <w:t xml:space="preserve">and </w:t>
      </w:r>
      <w:r w:rsidR="00275589">
        <w:rPr>
          <w:rFonts w:cs="Times New Roman"/>
          <w:sz w:val="24"/>
          <w:szCs w:val="24"/>
        </w:rPr>
        <w:t>anti-</w:t>
      </w:r>
      <w:r w:rsidRPr="00F21F56">
        <w:rPr>
          <w:sz w:val="24"/>
          <w:szCs w:val="24"/>
        </w:rPr>
        <w:t>Nup62 (loading control)</w:t>
      </w:r>
      <w:r w:rsidR="00275589">
        <w:rPr>
          <w:sz w:val="24"/>
          <w:szCs w:val="24"/>
        </w:rPr>
        <w:t xml:space="preserve"> antibodies</w:t>
      </w:r>
      <w:r w:rsidRPr="00F21F56">
        <w:rPr>
          <w:sz w:val="24"/>
          <w:szCs w:val="24"/>
        </w:rPr>
        <w:t xml:space="preserve">. </w:t>
      </w:r>
      <w:r w:rsidR="00B830C8">
        <w:rPr>
          <w:sz w:val="24"/>
          <w:szCs w:val="24"/>
        </w:rPr>
        <w:t>B) Q</w:t>
      </w:r>
      <w:r w:rsidRPr="00F21F56">
        <w:rPr>
          <w:sz w:val="24"/>
          <w:szCs w:val="24"/>
        </w:rPr>
        <w:t xml:space="preserve">uantification of </w:t>
      </w:r>
      <w:proofErr w:type="spellStart"/>
      <w:r w:rsidR="00B830C8">
        <w:rPr>
          <w:sz w:val="24"/>
          <w:szCs w:val="24"/>
        </w:rPr>
        <w:t>siRNA</w:t>
      </w:r>
      <w:proofErr w:type="spellEnd"/>
      <w:r w:rsidR="00B830C8">
        <w:rPr>
          <w:sz w:val="24"/>
          <w:szCs w:val="24"/>
        </w:rPr>
        <w:t>-mediated decreased levels</w:t>
      </w:r>
      <w:r w:rsidR="00F60250">
        <w:rPr>
          <w:sz w:val="24"/>
          <w:szCs w:val="24"/>
        </w:rPr>
        <w:t xml:space="preserve"> of</w:t>
      </w:r>
      <w:r w:rsidR="00B830C8">
        <w:rPr>
          <w:sz w:val="24"/>
          <w:szCs w:val="24"/>
        </w:rPr>
        <w:t xml:space="preserve"> </w:t>
      </w:r>
      <w:proofErr w:type="spellStart"/>
      <w:r w:rsidRPr="00F21F56">
        <w:rPr>
          <w:sz w:val="24"/>
          <w:szCs w:val="24"/>
        </w:rPr>
        <w:t>Crk</w:t>
      </w:r>
      <w:proofErr w:type="spellEnd"/>
      <w:r w:rsidRPr="00F21F56">
        <w:rPr>
          <w:sz w:val="24"/>
          <w:szCs w:val="24"/>
        </w:rPr>
        <w:t xml:space="preserve"> protein expression </w:t>
      </w:r>
      <w:r w:rsidR="00B830C8">
        <w:rPr>
          <w:sz w:val="24"/>
          <w:szCs w:val="24"/>
        </w:rPr>
        <w:t xml:space="preserve">as assessed </w:t>
      </w:r>
      <w:r w:rsidRPr="00F21F56">
        <w:rPr>
          <w:sz w:val="24"/>
          <w:szCs w:val="24"/>
        </w:rPr>
        <w:t xml:space="preserve">by quantitative </w:t>
      </w:r>
      <w:proofErr w:type="spellStart"/>
      <w:r w:rsidRPr="00F21F56">
        <w:rPr>
          <w:sz w:val="24"/>
          <w:szCs w:val="24"/>
        </w:rPr>
        <w:t>immunoblot</w:t>
      </w:r>
      <w:r w:rsidR="00B830C8">
        <w:rPr>
          <w:sz w:val="24"/>
          <w:szCs w:val="24"/>
        </w:rPr>
        <w:t>s</w:t>
      </w:r>
      <w:proofErr w:type="spellEnd"/>
      <w:r w:rsidR="00B830C8">
        <w:rPr>
          <w:sz w:val="24"/>
          <w:szCs w:val="24"/>
        </w:rPr>
        <w:t xml:space="preserve"> </w:t>
      </w:r>
      <w:r w:rsidR="00F60250">
        <w:rPr>
          <w:sz w:val="24"/>
          <w:szCs w:val="24"/>
        </w:rPr>
        <w:t>on a LI-COR</w:t>
      </w:r>
      <w:r w:rsidR="00B830C8">
        <w:rPr>
          <w:sz w:val="24"/>
          <w:szCs w:val="24"/>
        </w:rPr>
        <w:t xml:space="preserve"> imag</w:t>
      </w:r>
      <w:r w:rsidR="00F60250">
        <w:rPr>
          <w:sz w:val="24"/>
          <w:szCs w:val="24"/>
        </w:rPr>
        <w:t>er</w:t>
      </w:r>
      <w:r w:rsidRPr="00F21F56">
        <w:rPr>
          <w:sz w:val="24"/>
          <w:szCs w:val="24"/>
        </w:rPr>
        <w:t xml:space="preserve">. </w:t>
      </w:r>
      <w:proofErr w:type="spellStart"/>
      <w:r w:rsidRPr="00F21F56">
        <w:rPr>
          <w:rFonts w:cs="Times New Roman"/>
          <w:sz w:val="24"/>
          <w:szCs w:val="24"/>
        </w:rPr>
        <w:t>CrkI</w:t>
      </w:r>
      <w:proofErr w:type="spellEnd"/>
      <w:r w:rsidRPr="00F21F56">
        <w:rPr>
          <w:rFonts w:cs="Times New Roman"/>
          <w:sz w:val="24"/>
          <w:szCs w:val="24"/>
        </w:rPr>
        <w:t xml:space="preserve"> and </w:t>
      </w:r>
      <w:proofErr w:type="spellStart"/>
      <w:r w:rsidRPr="00F21F56">
        <w:rPr>
          <w:rFonts w:cs="Times New Roman"/>
          <w:sz w:val="24"/>
          <w:szCs w:val="24"/>
        </w:rPr>
        <w:t>CrkII</w:t>
      </w:r>
      <w:proofErr w:type="spellEnd"/>
      <w:r w:rsidRPr="00F21F56">
        <w:rPr>
          <w:rFonts w:cs="Times New Roman"/>
          <w:sz w:val="24"/>
          <w:szCs w:val="24"/>
        </w:rPr>
        <w:t xml:space="preserve"> expression level was decreased around 50% after </w:t>
      </w:r>
      <w:proofErr w:type="spellStart"/>
      <w:r w:rsidRPr="00F21F56">
        <w:rPr>
          <w:rFonts w:cs="Times New Roman"/>
          <w:sz w:val="24"/>
          <w:szCs w:val="24"/>
        </w:rPr>
        <w:t>siRNA</w:t>
      </w:r>
      <w:proofErr w:type="spellEnd"/>
      <w:r w:rsidRPr="00F21F56">
        <w:rPr>
          <w:rFonts w:cs="Times New Roman"/>
          <w:sz w:val="24"/>
          <w:szCs w:val="24"/>
        </w:rPr>
        <w:t xml:space="preserve"> treatment. </w:t>
      </w:r>
      <w:r w:rsidR="005D4B5A">
        <w:rPr>
          <w:rFonts w:cs="Times New Roman"/>
          <w:sz w:val="24"/>
          <w:szCs w:val="24"/>
        </w:rPr>
        <w:t xml:space="preserve"> C</w:t>
      </w:r>
      <w:r w:rsidRPr="00F21F56">
        <w:rPr>
          <w:sz w:val="24"/>
          <w:szCs w:val="24"/>
        </w:rPr>
        <w:t>)</w:t>
      </w:r>
      <w:r w:rsidRPr="00F21F56">
        <w:rPr>
          <w:rFonts w:cs="Times New Roman"/>
          <w:sz w:val="24"/>
          <w:szCs w:val="24"/>
        </w:rPr>
        <w:t xml:space="preserve"> </w:t>
      </w:r>
      <w:proofErr w:type="spellStart"/>
      <w:r w:rsidRPr="00F21F56">
        <w:rPr>
          <w:rFonts w:cs="Times New Roman"/>
          <w:sz w:val="24"/>
          <w:szCs w:val="24"/>
        </w:rPr>
        <w:t>Crk</w:t>
      </w:r>
      <w:proofErr w:type="spellEnd"/>
      <w:r w:rsidRPr="00F21F56">
        <w:rPr>
          <w:rFonts w:cs="Times New Roman"/>
          <w:sz w:val="24"/>
          <w:szCs w:val="24"/>
        </w:rPr>
        <w:t xml:space="preserve"> </w:t>
      </w:r>
      <w:proofErr w:type="spellStart"/>
      <w:r w:rsidRPr="00F21F56">
        <w:rPr>
          <w:rFonts w:cs="Times New Roman"/>
          <w:sz w:val="24"/>
          <w:szCs w:val="24"/>
        </w:rPr>
        <w:t>siRNA</w:t>
      </w:r>
      <w:proofErr w:type="spellEnd"/>
      <w:r w:rsidRPr="00F21F56">
        <w:rPr>
          <w:rFonts w:cs="Times New Roman"/>
          <w:sz w:val="24"/>
          <w:szCs w:val="24"/>
        </w:rPr>
        <w:t xml:space="preserve"> knockdown does not affect </w:t>
      </w:r>
      <w:r w:rsidRPr="00F21F56">
        <w:rPr>
          <w:rFonts w:cs="Times New Roman"/>
          <w:i/>
          <w:sz w:val="24"/>
          <w:szCs w:val="24"/>
        </w:rPr>
        <w:t>C. trachomatis</w:t>
      </w:r>
      <w:r w:rsidRPr="00F21F56">
        <w:rPr>
          <w:rFonts w:cs="Times New Roman"/>
          <w:sz w:val="24"/>
          <w:szCs w:val="24"/>
        </w:rPr>
        <w:t xml:space="preserve"> growth </w:t>
      </w:r>
      <w:r w:rsidR="00991E93">
        <w:rPr>
          <w:rFonts w:cs="Times New Roman"/>
          <w:sz w:val="24"/>
          <w:szCs w:val="24"/>
        </w:rPr>
        <w:t xml:space="preserve">as </w:t>
      </w:r>
      <w:r w:rsidRPr="00F21F56">
        <w:rPr>
          <w:rFonts w:cs="Times New Roman"/>
          <w:sz w:val="24"/>
          <w:szCs w:val="24"/>
        </w:rPr>
        <w:t xml:space="preserve">assessed by IFU </w:t>
      </w:r>
      <w:r w:rsidRPr="00F21F56">
        <w:rPr>
          <w:rFonts w:cs="Times New Roman"/>
          <w:sz w:val="24"/>
          <w:szCs w:val="24"/>
        </w:rPr>
        <w:lastRenderedPageBreak/>
        <w:t>assay.</w:t>
      </w:r>
      <w:r w:rsidRPr="00F21F56">
        <w:rPr>
          <w:sz w:val="24"/>
          <w:szCs w:val="24"/>
        </w:rPr>
        <w:t xml:space="preserve"> </w:t>
      </w:r>
      <w:r w:rsidR="005D4B5A">
        <w:rPr>
          <w:sz w:val="24"/>
          <w:szCs w:val="24"/>
        </w:rPr>
        <w:t>IFUs were</w:t>
      </w:r>
      <w:r w:rsidRPr="00F21F56">
        <w:rPr>
          <w:sz w:val="24"/>
          <w:szCs w:val="24"/>
        </w:rPr>
        <w:t xml:space="preserve"> normalized to </w:t>
      </w:r>
      <w:r w:rsidR="005D4B5A">
        <w:rPr>
          <w:sz w:val="24"/>
          <w:szCs w:val="24"/>
        </w:rPr>
        <w:t xml:space="preserve">growth in cells treated with control </w:t>
      </w:r>
      <w:proofErr w:type="spellStart"/>
      <w:r w:rsidR="005D4B5A">
        <w:rPr>
          <w:sz w:val="24"/>
          <w:szCs w:val="24"/>
        </w:rPr>
        <w:t>siRNA</w:t>
      </w:r>
      <w:proofErr w:type="spellEnd"/>
      <w:r w:rsidR="005D4B5A">
        <w:rPr>
          <w:sz w:val="24"/>
          <w:szCs w:val="24"/>
        </w:rPr>
        <w:t xml:space="preserve"> (</w:t>
      </w:r>
      <w:r w:rsidRPr="00F21F56">
        <w:rPr>
          <w:sz w:val="24"/>
          <w:szCs w:val="24"/>
        </w:rPr>
        <w:t>NC</w:t>
      </w:r>
      <w:r w:rsidR="005D4B5A">
        <w:rPr>
          <w:sz w:val="24"/>
          <w:szCs w:val="24"/>
        </w:rPr>
        <w:t>)</w:t>
      </w:r>
      <w:r w:rsidRPr="00F21F56">
        <w:rPr>
          <w:sz w:val="24"/>
          <w:szCs w:val="24"/>
        </w:rPr>
        <w:t xml:space="preserve">. </w:t>
      </w:r>
      <w:r w:rsidR="00F60250">
        <w:rPr>
          <w:sz w:val="24"/>
          <w:szCs w:val="24"/>
        </w:rPr>
        <w:t xml:space="preserve"> </w:t>
      </w:r>
      <w:r w:rsidR="005D4B5A">
        <w:rPr>
          <w:sz w:val="24"/>
          <w:szCs w:val="24"/>
        </w:rPr>
        <w:t>D</w:t>
      </w:r>
      <w:r w:rsidR="005D4B5A" w:rsidRPr="00F21F56">
        <w:rPr>
          <w:rFonts w:cs="Times New Roman"/>
          <w:sz w:val="24"/>
          <w:szCs w:val="24"/>
        </w:rPr>
        <w:t xml:space="preserve">) </w:t>
      </w:r>
      <w:r w:rsidR="0089045B">
        <w:rPr>
          <w:rFonts w:cs="Times New Roman"/>
          <w:sz w:val="24"/>
          <w:szCs w:val="24"/>
        </w:rPr>
        <w:t xml:space="preserve">Comparison of IFU burst between the </w:t>
      </w:r>
      <w:proofErr w:type="gramStart"/>
      <w:r w:rsidR="0089045B" w:rsidRPr="00355F0F">
        <w:rPr>
          <w:rFonts w:cs="Times New Roman"/>
          <w:i/>
          <w:sz w:val="24"/>
          <w:szCs w:val="24"/>
        </w:rPr>
        <w:t>tepP</w:t>
      </w:r>
      <w:proofErr w:type="gramEnd"/>
      <w:r w:rsidR="0089045B">
        <w:rPr>
          <w:rFonts w:cs="Times New Roman"/>
          <w:sz w:val="24"/>
          <w:szCs w:val="24"/>
        </w:rPr>
        <w:t xml:space="preserve"> mutant CTL2-MO62G1</w:t>
      </w:r>
      <w:r w:rsidR="00EA5563">
        <w:rPr>
          <w:rFonts w:cs="Times New Roman"/>
          <w:sz w:val="24"/>
          <w:szCs w:val="24"/>
        </w:rPr>
        <w:t xml:space="preserve">, </w:t>
      </w:r>
      <w:r w:rsidR="005D4B5A" w:rsidRPr="00F21F56">
        <w:rPr>
          <w:rFonts w:cs="Times New Roman"/>
          <w:sz w:val="24"/>
          <w:szCs w:val="24"/>
        </w:rPr>
        <w:t xml:space="preserve">and </w:t>
      </w:r>
      <w:r w:rsidR="00EA5563">
        <w:rPr>
          <w:rFonts w:cs="Times New Roman"/>
          <w:sz w:val="24"/>
          <w:szCs w:val="24"/>
        </w:rPr>
        <w:t>its derivatives trans</w:t>
      </w:r>
      <w:r w:rsidR="00D72C36">
        <w:rPr>
          <w:rFonts w:cs="Times New Roman"/>
          <w:sz w:val="24"/>
          <w:szCs w:val="24"/>
        </w:rPr>
        <w:t xml:space="preserve">formed with empty vector or </w:t>
      </w:r>
      <w:proofErr w:type="spellStart"/>
      <w:r w:rsidR="00D72C36">
        <w:rPr>
          <w:rFonts w:cs="Times New Roman"/>
          <w:sz w:val="24"/>
          <w:szCs w:val="24"/>
        </w:rPr>
        <w:t>pTep</w:t>
      </w:r>
      <w:r w:rsidR="00EA5563">
        <w:rPr>
          <w:rFonts w:cs="Times New Roman"/>
          <w:sz w:val="24"/>
          <w:szCs w:val="24"/>
        </w:rPr>
        <w:t>P</w:t>
      </w:r>
      <w:proofErr w:type="spellEnd"/>
      <w:r w:rsidR="00EA5563">
        <w:rPr>
          <w:rFonts w:cs="Times New Roman"/>
          <w:sz w:val="24"/>
          <w:szCs w:val="24"/>
        </w:rPr>
        <w:t>.</w:t>
      </w:r>
      <w:r w:rsidR="005D4B5A" w:rsidRPr="00F21F56">
        <w:rPr>
          <w:rFonts w:cs="Times New Roman"/>
          <w:sz w:val="24"/>
          <w:szCs w:val="24"/>
        </w:rPr>
        <w:t xml:space="preserve"> HeLa cells were infected for 28 h at an MOI &lt; 1. </w:t>
      </w:r>
      <w:r w:rsidR="00EA5563">
        <w:rPr>
          <w:rFonts w:cs="Times New Roman"/>
          <w:sz w:val="24"/>
          <w:szCs w:val="24"/>
        </w:rPr>
        <w:t xml:space="preserve"> </w:t>
      </w:r>
      <w:r w:rsidR="00285CB9">
        <w:rPr>
          <w:rFonts w:cs="Times New Roman"/>
          <w:sz w:val="24"/>
          <w:szCs w:val="24"/>
        </w:rPr>
        <w:t>The r</w:t>
      </w:r>
      <w:r w:rsidR="005D4B5A" w:rsidRPr="00F21F56">
        <w:rPr>
          <w:rFonts w:cs="Times New Roman"/>
          <w:sz w:val="24"/>
          <w:szCs w:val="24"/>
        </w:rPr>
        <w:t xml:space="preserve">esulting infectious progeny were </w:t>
      </w:r>
      <w:proofErr w:type="spellStart"/>
      <w:r w:rsidR="00285CB9">
        <w:rPr>
          <w:rFonts w:cs="Times New Roman"/>
          <w:sz w:val="24"/>
          <w:szCs w:val="24"/>
        </w:rPr>
        <w:t>titered</w:t>
      </w:r>
      <w:proofErr w:type="spellEnd"/>
      <w:r w:rsidR="005D4B5A" w:rsidRPr="00F21F56">
        <w:rPr>
          <w:rFonts w:cs="Times New Roman"/>
          <w:sz w:val="24"/>
          <w:szCs w:val="24"/>
        </w:rPr>
        <w:t xml:space="preserve"> in HeLa cells </w:t>
      </w:r>
      <w:r w:rsidR="00285CB9">
        <w:rPr>
          <w:rFonts w:cs="Times New Roman"/>
          <w:sz w:val="24"/>
          <w:szCs w:val="24"/>
        </w:rPr>
        <w:t xml:space="preserve">as described in Supplemental Material and Methods, </w:t>
      </w:r>
      <w:r w:rsidR="005D4B5A" w:rsidRPr="00F21F56">
        <w:rPr>
          <w:rFonts w:cs="Times New Roman"/>
          <w:sz w:val="24"/>
          <w:szCs w:val="24"/>
        </w:rPr>
        <w:t xml:space="preserve">and normalized to input number of bacteria. </w:t>
      </w:r>
      <w:r w:rsidR="00573646" w:rsidRPr="0072688E">
        <w:rPr>
          <w:rFonts w:cs="Minion-Regular"/>
          <w:sz w:val="24"/>
          <w:szCs w:val="24"/>
        </w:rPr>
        <w:t>All data</w:t>
      </w:r>
      <w:r w:rsidR="00573646">
        <w:rPr>
          <w:rFonts w:cs="Minion-Regular"/>
          <w:sz w:val="24"/>
          <w:szCs w:val="24"/>
        </w:rPr>
        <w:t xml:space="preserve"> </w:t>
      </w:r>
      <w:r w:rsidR="00573646" w:rsidRPr="0072688E">
        <w:rPr>
          <w:rFonts w:cs="Minion-Regular"/>
          <w:sz w:val="24"/>
          <w:szCs w:val="24"/>
        </w:rPr>
        <w:t xml:space="preserve">shown </w:t>
      </w:r>
      <w:r w:rsidR="00573646">
        <w:rPr>
          <w:rFonts w:cs="Minion-Regular"/>
          <w:sz w:val="24"/>
          <w:szCs w:val="24"/>
        </w:rPr>
        <w:t xml:space="preserve">were </w:t>
      </w:r>
      <w:r w:rsidR="00573646" w:rsidRPr="0072688E">
        <w:rPr>
          <w:rFonts w:cs="Minion-Regular"/>
          <w:sz w:val="24"/>
          <w:szCs w:val="24"/>
        </w:rPr>
        <w:t>as means ±</w:t>
      </w:r>
      <w:r w:rsidR="00573646" w:rsidRPr="0072688E">
        <w:rPr>
          <w:rFonts w:cs="Universal-GreekwithMathPi"/>
          <w:sz w:val="24"/>
          <w:szCs w:val="24"/>
        </w:rPr>
        <w:t xml:space="preserve"> </w:t>
      </w:r>
      <w:r w:rsidR="00573646" w:rsidRPr="0072688E">
        <w:rPr>
          <w:rFonts w:cs="Minion-Regular"/>
          <w:sz w:val="24"/>
          <w:szCs w:val="24"/>
        </w:rPr>
        <w:t xml:space="preserve">standard deviations from </w:t>
      </w:r>
      <w:r w:rsidR="00285CB9">
        <w:rPr>
          <w:rFonts w:cs="Times New Roman"/>
          <w:sz w:val="24"/>
          <w:szCs w:val="24"/>
        </w:rPr>
        <w:t xml:space="preserve">experiments performed in </w:t>
      </w:r>
      <w:r w:rsidR="005D4B5A" w:rsidRPr="00F21F56">
        <w:rPr>
          <w:rFonts w:cs="Times New Roman"/>
          <w:sz w:val="24"/>
          <w:szCs w:val="24"/>
        </w:rPr>
        <w:t>triplicate.</w:t>
      </w:r>
    </w:p>
    <w:p w14:paraId="6F64B58A" w14:textId="2D8427EB" w:rsidR="00855729" w:rsidRPr="00F21F56" w:rsidRDefault="00855729" w:rsidP="00087C72">
      <w:pPr>
        <w:ind w:left="-720" w:right="-720"/>
        <w:rPr>
          <w:sz w:val="24"/>
          <w:szCs w:val="24"/>
        </w:rPr>
      </w:pPr>
      <w:proofErr w:type="gramStart"/>
      <w:r w:rsidRPr="00F21F56">
        <w:rPr>
          <w:b/>
          <w:sz w:val="24"/>
          <w:szCs w:val="24"/>
        </w:rPr>
        <w:t>Supplementary Table 1</w:t>
      </w:r>
      <w:r w:rsidRPr="00F21F56">
        <w:rPr>
          <w:sz w:val="24"/>
          <w:szCs w:val="24"/>
        </w:rPr>
        <w:t>.</w:t>
      </w:r>
      <w:proofErr w:type="gramEnd"/>
      <w:r w:rsidRPr="00F21F56">
        <w:rPr>
          <w:sz w:val="24"/>
          <w:szCs w:val="24"/>
        </w:rPr>
        <w:t xml:space="preserve"> Number of unique </w:t>
      </w:r>
      <w:r w:rsidR="0053234F">
        <w:rPr>
          <w:sz w:val="24"/>
          <w:szCs w:val="24"/>
        </w:rPr>
        <w:t>spectra</w:t>
      </w:r>
      <w:r w:rsidR="00555B63">
        <w:rPr>
          <w:sz w:val="24"/>
          <w:szCs w:val="24"/>
        </w:rPr>
        <w:t xml:space="preserve"> </w:t>
      </w:r>
      <w:r w:rsidRPr="00F21F56">
        <w:rPr>
          <w:sz w:val="24"/>
          <w:szCs w:val="24"/>
        </w:rPr>
        <w:t xml:space="preserve">identified by LC-MS/MS from samples immunoprecipitated with anti-Slc1 and </w:t>
      </w:r>
      <w:r w:rsidR="00555B63">
        <w:rPr>
          <w:sz w:val="24"/>
          <w:szCs w:val="24"/>
        </w:rPr>
        <w:t>anti-</w:t>
      </w:r>
      <w:r w:rsidRPr="00F21F56">
        <w:rPr>
          <w:sz w:val="24"/>
          <w:szCs w:val="24"/>
        </w:rPr>
        <w:t xml:space="preserve">Mcsc antibodies </w:t>
      </w:r>
      <w:r w:rsidR="00555B63">
        <w:rPr>
          <w:sz w:val="24"/>
          <w:szCs w:val="24"/>
        </w:rPr>
        <w:t>from</w:t>
      </w:r>
      <w:r w:rsidRPr="00F21F56">
        <w:rPr>
          <w:sz w:val="24"/>
          <w:szCs w:val="24"/>
        </w:rPr>
        <w:t xml:space="preserve"> EBs.</w:t>
      </w:r>
    </w:p>
    <w:p w14:paraId="219EB713" w14:textId="594508A1" w:rsidR="00855729" w:rsidRPr="00F21F56" w:rsidRDefault="00855729" w:rsidP="00087C72">
      <w:pPr>
        <w:ind w:left="-720" w:right="-720"/>
        <w:rPr>
          <w:sz w:val="24"/>
          <w:szCs w:val="24"/>
        </w:rPr>
      </w:pPr>
      <w:proofErr w:type="gramStart"/>
      <w:r w:rsidRPr="00F21F56">
        <w:rPr>
          <w:b/>
          <w:sz w:val="24"/>
          <w:szCs w:val="24"/>
        </w:rPr>
        <w:t>Supplementary Table 2</w:t>
      </w:r>
      <w:r w:rsidR="0082618E">
        <w:rPr>
          <w:sz w:val="24"/>
          <w:szCs w:val="24"/>
        </w:rPr>
        <w:t>.</w:t>
      </w:r>
      <w:proofErr w:type="gramEnd"/>
      <w:r w:rsidR="0082618E">
        <w:rPr>
          <w:sz w:val="24"/>
          <w:szCs w:val="24"/>
        </w:rPr>
        <w:t xml:space="preserve"> Plasmid c</w:t>
      </w:r>
      <w:r w:rsidRPr="00F21F56">
        <w:rPr>
          <w:sz w:val="24"/>
          <w:szCs w:val="24"/>
        </w:rPr>
        <w:t>onstructs used in this study.</w:t>
      </w:r>
    </w:p>
    <w:p w14:paraId="11465913" w14:textId="68B1D8CD" w:rsidR="00855729" w:rsidRPr="00F21F56" w:rsidRDefault="00855729" w:rsidP="00087C72">
      <w:pPr>
        <w:ind w:left="-720" w:right="-720"/>
        <w:rPr>
          <w:sz w:val="24"/>
          <w:szCs w:val="24"/>
        </w:rPr>
      </w:pPr>
      <w:proofErr w:type="gramStart"/>
      <w:r w:rsidRPr="00F21F56">
        <w:rPr>
          <w:b/>
          <w:sz w:val="24"/>
          <w:szCs w:val="24"/>
        </w:rPr>
        <w:t>Supplementary Table 3</w:t>
      </w:r>
      <w:r w:rsidRPr="00F21F56">
        <w:rPr>
          <w:sz w:val="24"/>
          <w:szCs w:val="24"/>
        </w:rPr>
        <w:t>.</w:t>
      </w:r>
      <w:proofErr w:type="gramEnd"/>
      <w:r w:rsidRPr="00F21F56">
        <w:rPr>
          <w:sz w:val="24"/>
          <w:szCs w:val="24"/>
        </w:rPr>
        <w:t xml:space="preserve"> Single nucleotide variants in </w:t>
      </w:r>
      <w:r w:rsidR="0082618E">
        <w:rPr>
          <w:sz w:val="24"/>
          <w:szCs w:val="24"/>
        </w:rPr>
        <w:t xml:space="preserve">strain </w:t>
      </w:r>
      <w:r w:rsidRPr="00F21F56">
        <w:rPr>
          <w:sz w:val="24"/>
          <w:szCs w:val="24"/>
        </w:rPr>
        <w:t>CTL2</w:t>
      </w:r>
      <w:r w:rsidR="00FE647D">
        <w:rPr>
          <w:sz w:val="24"/>
          <w:szCs w:val="24"/>
        </w:rPr>
        <w:t>-</w:t>
      </w:r>
      <w:r w:rsidRPr="00F21F56">
        <w:rPr>
          <w:sz w:val="24"/>
          <w:szCs w:val="24"/>
        </w:rPr>
        <w:t>M062.</w:t>
      </w:r>
    </w:p>
    <w:p w14:paraId="7B482E24" w14:textId="1AAA89EC" w:rsidR="00855729" w:rsidRPr="00F21F56" w:rsidRDefault="00855729" w:rsidP="00087C72">
      <w:pPr>
        <w:ind w:left="-720" w:right="-720"/>
        <w:rPr>
          <w:sz w:val="24"/>
          <w:szCs w:val="24"/>
        </w:rPr>
      </w:pPr>
      <w:proofErr w:type="gramStart"/>
      <w:r w:rsidRPr="00F21F56">
        <w:rPr>
          <w:b/>
          <w:sz w:val="24"/>
          <w:szCs w:val="24"/>
        </w:rPr>
        <w:t>Supplementary Table 4.</w:t>
      </w:r>
      <w:proofErr w:type="gramEnd"/>
      <w:r w:rsidRPr="00F21F56">
        <w:rPr>
          <w:sz w:val="24"/>
          <w:szCs w:val="24"/>
        </w:rPr>
        <w:t xml:space="preserve"> List of genes that </w:t>
      </w:r>
      <w:r w:rsidR="000574CD">
        <w:rPr>
          <w:sz w:val="24"/>
          <w:szCs w:val="24"/>
        </w:rPr>
        <w:t>display a TepP-dependent</w:t>
      </w:r>
      <w:r w:rsidR="000574CD" w:rsidRPr="00F21F56">
        <w:rPr>
          <w:sz w:val="24"/>
          <w:szCs w:val="24"/>
        </w:rPr>
        <w:t xml:space="preserve"> </w:t>
      </w:r>
      <w:r w:rsidR="000574CD">
        <w:rPr>
          <w:sz w:val="24"/>
          <w:szCs w:val="24"/>
        </w:rPr>
        <w:t>regulation</w:t>
      </w:r>
      <w:r w:rsidRPr="00F21F56">
        <w:rPr>
          <w:sz w:val="24"/>
          <w:szCs w:val="24"/>
        </w:rPr>
        <w:t xml:space="preserve"> at 4 </w:t>
      </w:r>
      <w:proofErr w:type="spellStart"/>
      <w:r w:rsidRPr="00F21F56">
        <w:rPr>
          <w:sz w:val="24"/>
          <w:szCs w:val="24"/>
        </w:rPr>
        <w:t>hpi</w:t>
      </w:r>
      <w:proofErr w:type="spellEnd"/>
      <w:r w:rsidRPr="00F21F56">
        <w:rPr>
          <w:sz w:val="24"/>
          <w:szCs w:val="24"/>
        </w:rPr>
        <w:t xml:space="preserve"> </w:t>
      </w:r>
      <w:r w:rsidR="000574CD">
        <w:rPr>
          <w:sz w:val="24"/>
          <w:szCs w:val="24"/>
        </w:rPr>
        <w:t xml:space="preserve">as determined </w:t>
      </w:r>
      <w:r w:rsidRPr="00F21F56">
        <w:rPr>
          <w:sz w:val="24"/>
          <w:szCs w:val="24"/>
        </w:rPr>
        <w:t xml:space="preserve">by </w:t>
      </w:r>
      <w:bookmarkStart w:id="0" w:name="_GoBack"/>
      <w:bookmarkEnd w:id="0"/>
      <w:r w:rsidRPr="00F21F56">
        <w:rPr>
          <w:sz w:val="24"/>
          <w:szCs w:val="24"/>
        </w:rPr>
        <w:t>Microarray analysis.</w:t>
      </w:r>
    </w:p>
    <w:p w14:paraId="16D6B9A3" w14:textId="4A49C1D1" w:rsidR="00855729" w:rsidRPr="00F21F56" w:rsidRDefault="00855729" w:rsidP="00087C72">
      <w:pPr>
        <w:ind w:left="-720" w:right="-720"/>
        <w:rPr>
          <w:sz w:val="24"/>
          <w:szCs w:val="24"/>
        </w:rPr>
      </w:pPr>
      <w:proofErr w:type="gramStart"/>
      <w:r w:rsidRPr="00F21F56">
        <w:rPr>
          <w:b/>
          <w:sz w:val="24"/>
          <w:szCs w:val="24"/>
        </w:rPr>
        <w:t>Supplementary Table 5.</w:t>
      </w:r>
      <w:proofErr w:type="gramEnd"/>
      <w:r w:rsidRPr="00F21F56">
        <w:rPr>
          <w:sz w:val="24"/>
          <w:szCs w:val="24"/>
        </w:rPr>
        <w:t xml:space="preserve"> Primer sequence</w:t>
      </w:r>
      <w:r w:rsidR="000574CD">
        <w:rPr>
          <w:sz w:val="24"/>
          <w:szCs w:val="24"/>
        </w:rPr>
        <w:t>s</w:t>
      </w:r>
      <w:r w:rsidRPr="00F21F56">
        <w:rPr>
          <w:sz w:val="24"/>
          <w:szCs w:val="24"/>
        </w:rPr>
        <w:t xml:space="preserve"> </w:t>
      </w:r>
      <w:r w:rsidR="000574CD">
        <w:rPr>
          <w:sz w:val="24"/>
          <w:szCs w:val="24"/>
        </w:rPr>
        <w:t xml:space="preserve">used </w:t>
      </w:r>
      <w:r w:rsidRPr="00F21F56">
        <w:rPr>
          <w:sz w:val="24"/>
          <w:szCs w:val="24"/>
        </w:rPr>
        <w:t>for Q-PCR.</w:t>
      </w:r>
    </w:p>
    <w:p w14:paraId="63566861" w14:textId="77777777" w:rsidR="00306B47" w:rsidRDefault="00306B47" w:rsidP="004967D3">
      <w:pPr>
        <w:spacing w:after="0" w:line="240" w:lineRule="auto"/>
        <w:ind w:left="-720" w:right="-720"/>
      </w:pPr>
    </w:p>
    <w:sectPr w:rsidR="00306B47" w:rsidSect="00BC63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vOT118e79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877c31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B"/>
    <w:rsid w:val="00000245"/>
    <w:rsid w:val="000028B1"/>
    <w:rsid w:val="000574CD"/>
    <w:rsid w:val="00087C72"/>
    <w:rsid w:val="000C0FFA"/>
    <w:rsid w:val="000C1F5A"/>
    <w:rsid w:val="001435D6"/>
    <w:rsid w:val="001D57A5"/>
    <w:rsid w:val="001F1003"/>
    <w:rsid w:val="0021138C"/>
    <w:rsid w:val="0026083F"/>
    <w:rsid w:val="00275589"/>
    <w:rsid w:val="00285CB9"/>
    <w:rsid w:val="00297F61"/>
    <w:rsid w:val="002D7476"/>
    <w:rsid w:val="00306B47"/>
    <w:rsid w:val="00355F0F"/>
    <w:rsid w:val="004967D3"/>
    <w:rsid w:val="0052359F"/>
    <w:rsid w:val="00523E4B"/>
    <w:rsid w:val="0053234F"/>
    <w:rsid w:val="005334DE"/>
    <w:rsid w:val="00555B63"/>
    <w:rsid w:val="00564B48"/>
    <w:rsid w:val="00573646"/>
    <w:rsid w:val="005D4B5A"/>
    <w:rsid w:val="00693D85"/>
    <w:rsid w:val="00694623"/>
    <w:rsid w:val="006D421B"/>
    <w:rsid w:val="006F5254"/>
    <w:rsid w:val="00713677"/>
    <w:rsid w:val="0078682B"/>
    <w:rsid w:val="0082618E"/>
    <w:rsid w:val="00841352"/>
    <w:rsid w:val="00855729"/>
    <w:rsid w:val="008858E1"/>
    <w:rsid w:val="0089045B"/>
    <w:rsid w:val="00955E18"/>
    <w:rsid w:val="00981A95"/>
    <w:rsid w:val="00991E93"/>
    <w:rsid w:val="009B56EF"/>
    <w:rsid w:val="00A26AED"/>
    <w:rsid w:val="00A40AD6"/>
    <w:rsid w:val="00AB6D2D"/>
    <w:rsid w:val="00AF32D4"/>
    <w:rsid w:val="00B820F7"/>
    <w:rsid w:val="00B830C8"/>
    <w:rsid w:val="00BA39F4"/>
    <w:rsid w:val="00BC634D"/>
    <w:rsid w:val="00CF754D"/>
    <w:rsid w:val="00D04182"/>
    <w:rsid w:val="00D72C36"/>
    <w:rsid w:val="00E22A35"/>
    <w:rsid w:val="00E95EBE"/>
    <w:rsid w:val="00EA5563"/>
    <w:rsid w:val="00EB0EB9"/>
    <w:rsid w:val="00EB6F53"/>
    <w:rsid w:val="00F12CDA"/>
    <w:rsid w:val="00F21F56"/>
    <w:rsid w:val="00F55272"/>
    <w:rsid w:val="00F60250"/>
    <w:rsid w:val="00F73D54"/>
    <w:rsid w:val="00FE6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A7D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2B"/>
    <w:pPr>
      <w:spacing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2B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2B"/>
    <w:rPr>
      <w:rFonts w:ascii="Lucida Grande" w:hAnsi="Lucida Grande" w:cs="Lucida Grande"/>
      <w:sz w:val="18"/>
      <w:szCs w:val="18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D6"/>
    <w:rPr>
      <w:b/>
      <w:bCs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CF754D"/>
    <w:pPr>
      <w:spacing w:after="0"/>
    </w:pPr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2B"/>
    <w:pPr>
      <w:spacing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8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2B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2B"/>
    <w:rPr>
      <w:rFonts w:ascii="Lucida Grande" w:hAnsi="Lucida Grande" w:cs="Lucida Grande"/>
      <w:sz w:val="18"/>
      <w:szCs w:val="18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AD6"/>
    <w:rPr>
      <w:b/>
      <w:bCs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CF754D"/>
    <w:pPr>
      <w:spacing w:after="0"/>
    </w:pPr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5697</Characters>
  <Application>Microsoft Macintosh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Valdivia</dc:creator>
  <cp:lastModifiedBy>Raphael Valdivia</cp:lastModifiedBy>
  <cp:revision>2</cp:revision>
  <dcterms:created xsi:type="dcterms:W3CDTF">2014-01-17T14:32:00Z</dcterms:created>
  <dcterms:modified xsi:type="dcterms:W3CDTF">2014-01-17T14:32:00Z</dcterms:modified>
</cp:coreProperties>
</file>