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95" w:rsidRDefault="00FA0883" w:rsidP="00A15995">
      <w:pPr>
        <w:spacing w:after="0" w:line="240" w:lineRule="auto"/>
      </w:pPr>
      <w:r w:rsidRPr="0037118C">
        <w:rPr>
          <w:b/>
        </w:rPr>
        <w:t xml:space="preserve">C2C12 </w:t>
      </w:r>
      <w:proofErr w:type="spellStart"/>
      <w:r w:rsidRPr="0037118C">
        <w:rPr>
          <w:b/>
        </w:rPr>
        <w:t>myoblast</w:t>
      </w:r>
      <w:proofErr w:type="spellEnd"/>
      <w:r w:rsidRPr="0037118C">
        <w:rPr>
          <w:b/>
        </w:rPr>
        <w:t xml:space="preserve"> cell culture</w:t>
      </w:r>
    </w:p>
    <w:p w:rsidR="00AF2BFF" w:rsidRDefault="00FA0883" w:rsidP="00A15995">
      <w:pPr>
        <w:spacing w:after="0" w:line="240" w:lineRule="auto"/>
      </w:pPr>
      <w:r>
        <w:t xml:space="preserve">C2C12 myoblasts (ATCC CRL-1772) are grown in </w:t>
      </w:r>
      <w:r w:rsidR="0037118C">
        <w:t>Dulbecco's</w:t>
      </w:r>
      <w:r>
        <w:t xml:space="preserve"> Modified Eagle Media </w:t>
      </w:r>
      <w:r w:rsidR="0037118C">
        <w:t xml:space="preserve">(DMEM) </w:t>
      </w:r>
      <w:r w:rsidR="00711847">
        <w:t>(</w:t>
      </w:r>
      <w:proofErr w:type="spellStart"/>
      <w:r w:rsidR="00711847">
        <w:t>Gibco</w:t>
      </w:r>
      <w:proofErr w:type="spellEnd"/>
      <w:r w:rsidR="00711847">
        <w:t xml:space="preserve"> cat# 11995-073) </w:t>
      </w:r>
      <w:r w:rsidR="0037118C">
        <w:t xml:space="preserve">containing 25mM glucose and 1mM </w:t>
      </w:r>
      <w:proofErr w:type="spellStart"/>
      <w:r w:rsidR="0037118C">
        <w:t>pyruvate</w:t>
      </w:r>
      <w:proofErr w:type="spellEnd"/>
      <w:r w:rsidR="0037118C">
        <w:t xml:space="preserve">. DMEM is </w:t>
      </w:r>
      <w:r>
        <w:t xml:space="preserve">supplemented with 10% </w:t>
      </w:r>
      <w:r w:rsidR="0037118C">
        <w:t>f</w:t>
      </w:r>
      <w:r>
        <w:t xml:space="preserve">etal bovine serum </w:t>
      </w:r>
      <w:r w:rsidR="0037118C">
        <w:t xml:space="preserve">(FBS) </w:t>
      </w:r>
      <w:r>
        <w:t>and Penicillin G + Streptomycin</w:t>
      </w:r>
      <w:r w:rsidR="0037118C">
        <w:t xml:space="preserve"> (PS)</w:t>
      </w:r>
      <w:r>
        <w:t>.</w:t>
      </w:r>
      <w:r w:rsidR="0037118C">
        <w:t xml:space="preserve"> C2C12 myoblasts </w:t>
      </w:r>
      <w:r>
        <w:t>doubl</w:t>
      </w:r>
      <w:r w:rsidR="00AF2BFF">
        <w:t>e</w:t>
      </w:r>
      <w:r>
        <w:t xml:space="preserve"> every 18 hours. Cells should not reach confluence unless </w:t>
      </w:r>
      <w:r w:rsidR="00AF2BFF">
        <w:t xml:space="preserve">they are to be </w:t>
      </w:r>
      <w:r>
        <w:t>differentiate</w:t>
      </w:r>
      <w:r w:rsidR="00AF2BFF">
        <w:t>d</w:t>
      </w:r>
      <w:r>
        <w:t>.</w:t>
      </w:r>
      <w:r w:rsidR="0037118C">
        <w:t xml:space="preserve"> Myoblasts can be </w:t>
      </w:r>
      <w:proofErr w:type="spellStart"/>
      <w:r w:rsidR="0037118C">
        <w:t>subcultured</w:t>
      </w:r>
      <w:proofErr w:type="spellEnd"/>
      <w:r w:rsidR="0037118C">
        <w:t xml:space="preserve"> by </w:t>
      </w:r>
      <w:proofErr w:type="spellStart"/>
      <w:r w:rsidR="0037118C">
        <w:t>trypsinization</w:t>
      </w:r>
      <w:proofErr w:type="spellEnd"/>
      <w:r w:rsidR="0037118C">
        <w:t xml:space="preserve"> (described in ATCC protocol)</w:t>
      </w:r>
      <w:r w:rsidR="00FA6399">
        <w:t xml:space="preserve"> </w:t>
      </w:r>
      <w:r w:rsidR="0037118C">
        <w:t xml:space="preserve">and expanded until a suitable number of cells are prepared for the experiment. Cells are maintained in liquid N2 (Passages 4-6) and expanded </w:t>
      </w:r>
      <w:r w:rsidR="00711847">
        <w:t xml:space="preserve">from stock </w:t>
      </w:r>
      <w:r w:rsidR="0037118C">
        <w:t>as necessary for experiments.</w:t>
      </w:r>
    </w:p>
    <w:p w:rsidR="004809DD" w:rsidRDefault="0037118C" w:rsidP="00A15995">
      <w:pPr>
        <w:spacing w:after="0" w:line="240" w:lineRule="auto"/>
      </w:pPr>
      <w:r>
        <w:t xml:space="preserve"> </w:t>
      </w:r>
    </w:p>
    <w:p w:rsidR="00FA0883" w:rsidRDefault="00FA0883" w:rsidP="004809DD">
      <w:pPr>
        <w:spacing w:after="100" w:afterAutospacing="1" w:line="240" w:lineRule="auto"/>
      </w:pPr>
      <w:r>
        <w:t>6-well plates</w:t>
      </w:r>
      <w:r w:rsidR="00AF2BFF">
        <w:t xml:space="preserve"> are routinely used</w:t>
      </w:r>
      <w:r>
        <w:t xml:space="preserve"> for infection experiments. Each well on the plate is infected in parallel and separate 6-well plates are used for different treatments. </w:t>
      </w:r>
      <w:r w:rsidR="00AF2BFF">
        <w:t>Avoid culturing</w:t>
      </w:r>
      <w:r>
        <w:t xml:space="preserve"> infected and uninfected cells within the same plate. To prepare C2C12 myotubes for an infection, seed C2C12 myoblasts at low density &lt;10,000 cells /cm</w:t>
      </w:r>
      <w:r w:rsidRPr="00FA0883">
        <w:rPr>
          <w:vertAlign w:val="superscript"/>
        </w:rPr>
        <w:t>2</w:t>
      </w:r>
      <w:r>
        <w:t xml:space="preserve">.  </w:t>
      </w:r>
      <w:r w:rsidR="00AF2BFF">
        <w:t>Myotubes</w:t>
      </w:r>
      <w:r>
        <w:t xml:space="preserve"> adhere better when they are allowed to expand to confluence on the plate</w:t>
      </w:r>
      <w:r w:rsidR="00AF2BFF">
        <w:t xml:space="preserve"> and </w:t>
      </w:r>
      <w:r w:rsidR="0037118C">
        <w:t xml:space="preserve"> </w:t>
      </w:r>
      <w:r w:rsidR="00AF2BFF">
        <w:t xml:space="preserve">plating </w:t>
      </w:r>
      <w:r w:rsidR="0037118C">
        <w:t>myoblasts</w:t>
      </w:r>
      <w:r w:rsidR="00AF2BFF">
        <w:t xml:space="preserve"> at a high density</w:t>
      </w:r>
      <w:r w:rsidR="0037118C">
        <w:t xml:space="preserve"> can result in loss of the myotube layer </w:t>
      </w:r>
      <w:r w:rsidR="00AF2BFF">
        <w:t xml:space="preserve">following </w:t>
      </w:r>
      <w:r w:rsidR="0037118C">
        <w:t xml:space="preserve"> differentiation. </w:t>
      </w:r>
    </w:p>
    <w:p w:rsidR="00746A66" w:rsidRDefault="00746A66" w:rsidP="00746A66">
      <w:pPr>
        <w:spacing w:after="0" w:line="240" w:lineRule="auto"/>
      </w:pPr>
      <w:r w:rsidRPr="00746A66">
        <w:rPr>
          <w:u w:val="single"/>
        </w:rPr>
        <w:t xml:space="preserve">C2C12 </w:t>
      </w:r>
      <w:proofErr w:type="spellStart"/>
      <w:r w:rsidRPr="00746A66">
        <w:rPr>
          <w:u w:val="single"/>
        </w:rPr>
        <w:t>myoblast</w:t>
      </w:r>
      <w:proofErr w:type="spellEnd"/>
      <w:r w:rsidRPr="00746A66">
        <w:rPr>
          <w:u w:val="single"/>
        </w:rPr>
        <w:t xml:space="preserve"> culture media</w:t>
      </w:r>
      <w:r w:rsidRPr="0037118C">
        <w:t xml:space="preserve"> </w:t>
      </w:r>
      <w:r>
        <w:tab/>
      </w:r>
      <w:r>
        <w:tab/>
      </w:r>
      <w:r>
        <w:tab/>
      </w:r>
      <w:r>
        <w:tab/>
      </w:r>
      <w:r w:rsidRPr="00746A66">
        <w:rPr>
          <w:u w:val="single"/>
        </w:rPr>
        <w:t>C2C12 myotube culture media</w:t>
      </w:r>
    </w:p>
    <w:p w:rsidR="00746A66" w:rsidRDefault="00746A66" w:rsidP="00746A66">
      <w:pPr>
        <w:spacing w:after="0" w:line="240" w:lineRule="auto"/>
      </w:pPr>
      <w:r>
        <w:t>DMEM</w:t>
      </w:r>
      <w:r>
        <w:tab/>
      </w:r>
      <w:r>
        <w:tab/>
        <w:t>500mL</w:t>
      </w:r>
      <w:r>
        <w:tab/>
      </w:r>
      <w:r>
        <w:tab/>
      </w:r>
      <w:r>
        <w:tab/>
      </w:r>
      <w:r>
        <w:tab/>
      </w:r>
      <w:r>
        <w:tab/>
        <w:t xml:space="preserve">DMEM </w:t>
      </w:r>
      <w:r>
        <w:tab/>
      </w:r>
      <w:r>
        <w:tab/>
        <w:t>500mL</w:t>
      </w:r>
    </w:p>
    <w:p w:rsidR="00746A66" w:rsidRDefault="00746A66" w:rsidP="00746A66">
      <w:pPr>
        <w:spacing w:after="0" w:line="240" w:lineRule="auto"/>
      </w:pPr>
      <w:r>
        <w:t>PS</w:t>
      </w:r>
      <w:r>
        <w:tab/>
      </w:r>
      <w:r>
        <w:tab/>
        <w:t>5mL</w:t>
      </w:r>
      <w:r>
        <w:tab/>
      </w:r>
      <w:r>
        <w:tab/>
      </w:r>
      <w:r>
        <w:tab/>
      </w:r>
      <w:r>
        <w:tab/>
      </w:r>
      <w:r>
        <w:tab/>
        <w:t>PS</w:t>
      </w:r>
      <w:r>
        <w:tab/>
      </w:r>
      <w:r>
        <w:tab/>
        <w:t>5mL</w:t>
      </w:r>
    </w:p>
    <w:p w:rsidR="00746A66" w:rsidRPr="0037118C" w:rsidRDefault="00746A66" w:rsidP="00746A66">
      <w:pPr>
        <w:spacing w:after="0" w:line="240" w:lineRule="auto"/>
        <w:rPr>
          <w:b/>
        </w:rPr>
      </w:pPr>
      <w:r w:rsidRPr="0037118C">
        <w:rPr>
          <w:b/>
        </w:rPr>
        <w:t xml:space="preserve">FBS </w:t>
      </w:r>
      <w:r w:rsidRPr="0037118C">
        <w:rPr>
          <w:b/>
        </w:rPr>
        <w:tab/>
      </w:r>
      <w:r w:rsidRPr="0037118C">
        <w:rPr>
          <w:b/>
        </w:rPr>
        <w:tab/>
        <w:t>50mL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118C">
        <w:rPr>
          <w:b/>
        </w:rPr>
        <w:t>HS</w:t>
      </w:r>
      <w:r w:rsidRPr="0037118C">
        <w:rPr>
          <w:b/>
        </w:rPr>
        <w:tab/>
      </w:r>
      <w:r w:rsidRPr="0037118C">
        <w:rPr>
          <w:b/>
        </w:rPr>
        <w:tab/>
        <w:t>50mL</w:t>
      </w:r>
    </w:p>
    <w:p w:rsidR="00746A66" w:rsidRDefault="00746A66" w:rsidP="00711847">
      <w:pPr>
        <w:spacing w:after="0" w:line="240" w:lineRule="auto"/>
        <w:rPr>
          <w:b/>
        </w:rPr>
      </w:pPr>
    </w:p>
    <w:p w:rsidR="00711847" w:rsidRPr="00711847" w:rsidRDefault="00711847" w:rsidP="00711847">
      <w:pPr>
        <w:spacing w:after="0" w:line="240" w:lineRule="auto"/>
        <w:rPr>
          <w:b/>
        </w:rPr>
      </w:pPr>
      <w:r w:rsidRPr="00711847">
        <w:rPr>
          <w:b/>
        </w:rPr>
        <w:t>Differentiating C2C12 myoblasts</w:t>
      </w:r>
      <w:r w:rsidR="00CC16CE">
        <w:rPr>
          <w:b/>
        </w:rPr>
        <w:t>, infecting and maintaining myotube cultures</w:t>
      </w:r>
    </w:p>
    <w:p w:rsidR="00711847" w:rsidRDefault="00711847" w:rsidP="00711847">
      <w:pPr>
        <w:spacing w:after="0" w:line="240" w:lineRule="auto"/>
      </w:pPr>
      <w:r>
        <w:t xml:space="preserve">Once the </w:t>
      </w:r>
      <w:r w:rsidR="00AF2BFF">
        <w:t xml:space="preserve">myoblasts </w:t>
      </w:r>
      <w:r>
        <w:t xml:space="preserve">have reached confluence, </w:t>
      </w:r>
      <w:r w:rsidR="00CC16CE">
        <w:t>exchange</w:t>
      </w:r>
      <w:r>
        <w:t xml:space="preserve"> the </w:t>
      </w:r>
      <w:proofErr w:type="spellStart"/>
      <w:r w:rsidR="00CC16CE">
        <w:t>myoblast</w:t>
      </w:r>
      <w:proofErr w:type="spellEnd"/>
      <w:r w:rsidR="00CC16CE">
        <w:t xml:space="preserve"> </w:t>
      </w:r>
      <w:r>
        <w:t xml:space="preserve">media </w:t>
      </w:r>
      <w:r w:rsidR="00AF2BFF">
        <w:t xml:space="preserve">with </w:t>
      </w:r>
      <w:r>
        <w:t xml:space="preserve">myotube media containing 10% horse serum (HS). In 2-3 days, myotubes will begin to appear. </w:t>
      </w:r>
      <w:r w:rsidR="00746A66">
        <w:t xml:space="preserve">After 4 days, </w:t>
      </w:r>
      <w:r>
        <w:t xml:space="preserve">the </w:t>
      </w:r>
      <w:r w:rsidR="00746A66">
        <w:t>myoblasts will</w:t>
      </w:r>
      <w:r>
        <w:t xml:space="preserve"> have completely formed myotubes.</w:t>
      </w:r>
      <w:r w:rsidR="00CC16CE">
        <w:t xml:space="preserve"> To infect the cells, prepare </w:t>
      </w:r>
      <w:r w:rsidR="00746A66">
        <w:t xml:space="preserve">an infection </w:t>
      </w:r>
      <w:r w:rsidR="00CC16CE">
        <w:t>media by adding</w:t>
      </w:r>
      <w:r w:rsidR="00746A66">
        <w:t xml:space="preserve"> brain homogenate directly to the myotube culture media in a ratio of 100:1. For example, add 120</w:t>
      </w:r>
      <w:r w:rsidR="00FA6399">
        <w:t>µ</w:t>
      </w:r>
      <w:r w:rsidR="00746A66">
        <w:t>l of 10% brain homogenate to 12mL of media and mix completely. This media can then be applied to the cells to infect</w:t>
      </w:r>
      <w:r w:rsidR="003C7A6A">
        <w:t>, 2ml per well in a 6-well plate</w:t>
      </w:r>
      <w:r w:rsidR="00746A66">
        <w:t xml:space="preserve">. Lower dilutions of brain homogenate can be used, however, </w:t>
      </w:r>
      <w:r w:rsidR="00AF2BFF">
        <w:t>d</w:t>
      </w:r>
      <w:r w:rsidR="00746A66">
        <w:t xml:space="preserve">ecreasing the amount of HS </w:t>
      </w:r>
      <w:r w:rsidR="004809DD">
        <w:t xml:space="preserve">in the infection media </w:t>
      </w:r>
      <w:r w:rsidR="00746A66">
        <w:t>to 1%</w:t>
      </w:r>
      <w:r w:rsidR="00AF2BFF">
        <w:t xml:space="preserve"> is recommended</w:t>
      </w:r>
      <w:r w:rsidR="00746A66">
        <w:t>.</w:t>
      </w:r>
      <w:r w:rsidR="003C7A6A">
        <w:t xml:space="preserve"> </w:t>
      </w:r>
      <w:r w:rsidR="00AF2BFF">
        <w:t xml:space="preserve"> On the following days, </w:t>
      </w:r>
      <w:r w:rsidR="003C7A6A">
        <w:t>exchange the media with fresh pre-warmed myotube culture media</w:t>
      </w:r>
      <w:r w:rsidR="00AF2BFF">
        <w:t xml:space="preserve"> daily to avoid acidification of </w:t>
      </w:r>
      <w:r w:rsidR="003C7A6A">
        <w:t>the media.</w:t>
      </w:r>
      <w:r w:rsidR="004809DD">
        <w:t xml:space="preserve"> Plates containing infected cells should always be processed from least infectivity to most to prevent cross</w:t>
      </w:r>
      <w:r w:rsidR="00AF2BFF">
        <w:t>-</w:t>
      </w:r>
      <w:r w:rsidR="004809DD">
        <w:t>contamination.</w:t>
      </w:r>
    </w:p>
    <w:p w:rsidR="00E13342" w:rsidRDefault="00E13342" w:rsidP="00711847">
      <w:pPr>
        <w:spacing w:after="0" w:line="240" w:lineRule="auto"/>
      </w:pPr>
    </w:p>
    <w:p w:rsidR="00E13342" w:rsidRPr="00E13342" w:rsidRDefault="00E13342" w:rsidP="00711847">
      <w:pPr>
        <w:spacing w:after="0" w:line="240" w:lineRule="auto"/>
        <w:rPr>
          <w:b/>
        </w:rPr>
      </w:pPr>
      <w:r w:rsidRPr="00E13342">
        <w:rPr>
          <w:b/>
        </w:rPr>
        <w:t>Collect</w:t>
      </w:r>
      <w:r>
        <w:rPr>
          <w:b/>
        </w:rPr>
        <w:t>ing cell</w:t>
      </w:r>
      <w:r w:rsidRPr="00E13342">
        <w:rPr>
          <w:b/>
        </w:rPr>
        <w:t xml:space="preserve"> </w:t>
      </w:r>
      <w:proofErr w:type="spellStart"/>
      <w:r w:rsidRPr="00E13342">
        <w:rPr>
          <w:b/>
        </w:rPr>
        <w:t>lysate</w:t>
      </w:r>
      <w:proofErr w:type="spellEnd"/>
      <w:r>
        <w:rPr>
          <w:b/>
        </w:rPr>
        <w:t xml:space="preserve"> </w:t>
      </w:r>
      <w:r w:rsidRPr="00E13342">
        <w:rPr>
          <w:b/>
        </w:rPr>
        <w:t>for PrP</w:t>
      </w:r>
      <w:r w:rsidRPr="00E13342">
        <w:rPr>
          <w:b/>
          <w:vertAlign w:val="superscript"/>
        </w:rPr>
        <w:t>Sc</w:t>
      </w:r>
      <w:r>
        <w:rPr>
          <w:b/>
          <w:vertAlign w:val="superscript"/>
        </w:rPr>
        <w:t xml:space="preserve"> </w:t>
      </w:r>
      <w:r w:rsidRPr="00E13342">
        <w:rPr>
          <w:b/>
        </w:rPr>
        <w:t>assay</w:t>
      </w:r>
    </w:p>
    <w:p w:rsidR="0037118C" w:rsidRPr="00AF2BFF" w:rsidRDefault="00E13342" w:rsidP="0037118C">
      <w:pPr>
        <w:spacing w:after="0" w:line="240" w:lineRule="auto"/>
      </w:pPr>
      <w:r w:rsidRPr="00AF2BFF">
        <w:t>To collect myotube</w:t>
      </w:r>
      <w:r w:rsidR="00AF2BFF" w:rsidRPr="00AF2BFF">
        <w:t>s</w:t>
      </w:r>
      <w:r w:rsidRPr="00AF2BFF">
        <w:t xml:space="preserve">, aspirate the media, and wash the monolayer with </w:t>
      </w:r>
      <w:r w:rsidR="00992F94" w:rsidRPr="00AF2BFF">
        <w:t xml:space="preserve">Dulbecco's </w:t>
      </w:r>
      <w:r w:rsidRPr="00AF2BFF">
        <w:t>PBS</w:t>
      </w:r>
      <w:r w:rsidR="00992F94" w:rsidRPr="00AF2BFF">
        <w:t xml:space="preserve"> (</w:t>
      </w:r>
      <w:proofErr w:type="spellStart"/>
      <w:r w:rsidR="00992F94" w:rsidRPr="00AF2BFF">
        <w:t>Gibco</w:t>
      </w:r>
      <w:proofErr w:type="spellEnd"/>
      <w:r w:rsidR="00992F94" w:rsidRPr="00AF2BFF">
        <w:t xml:space="preserve"> cat#14190-144)</w:t>
      </w:r>
      <w:r w:rsidRPr="00AF2BFF">
        <w:t xml:space="preserve">. Aspirate all PBS and add RIPA </w:t>
      </w:r>
      <w:proofErr w:type="spellStart"/>
      <w:r w:rsidRPr="00AF2BFF">
        <w:t>lysis</w:t>
      </w:r>
      <w:proofErr w:type="spellEnd"/>
      <w:r w:rsidRPr="00AF2BFF">
        <w:t xml:space="preserve"> buffer containing protease inhibitors</w:t>
      </w:r>
      <w:r w:rsidR="00AF2BFF" w:rsidRPr="00AF2BFF">
        <w:t xml:space="preserve">, approximately </w:t>
      </w:r>
      <w:r w:rsidRPr="00AF2BFF">
        <w:t xml:space="preserve"> ~500</w:t>
      </w:r>
      <w:r w:rsidR="00AD776D" w:rsidRPr="00AD776D">
        <w:t xml:space="preserve">µL of RIPA </w:t>
      </w:r>
      <w:proofErr w:type="spellStart"/>
      <w:r w:rsidR="00AD776D" w:rsidRPr="00AD776D">
        <w:t>lysis</w:t>
      </w:r>
      <w:proofErr w:type="spellEnd"/>
      <w:r w:rsidR="00AD776D" w:rsidRPr="00AD776D">
        <w:t xml:space="preserve"> buffer per well on a 6 well plate. Allow the </w:t>
      </w:r>
      <w:proofErr w:type="spellStart"/>
      <w:r w:rsidR="00AD776D" w:rsidRPr="00AD776D">
        <w:t>lysis</w:t>
      </w:r>
      <w:proofErr w:type="spellEnd"/>
      <w:r w:rsidR="00AD776D" w:rsidRPr="00AD776D">
        <w:t xml:space="preserve"> buffer to rest on the cell layer for a minute at which time it should be possible to collect the entire cell layer. If the cell layer  sticks, aspirate the </w:t>
      </w:r>
      <w:proofErr w:type="spellStart"/>
      <w:r w:rsidR="00AD776D" w:rsidRPr="00AD776D">
        <w:t>lysis</w:t>
      </w:r>
      <w:proofErr w:type="spellEnd"/>
      <w:r w:rsidR="00AD776D" w:rsidRPr="00AD776D">
        <w:t xml:space="preserve"> buffer working from one edge of the well, until the whole sheet of cells can be collected</w:t>
      </w:r>
      <w:r w:rsidRPr="00AF2BFF">
        <w:t xml:space="preserve">. After collection, gently </w:t>
      </w:r>
      <w:proofErr w:type="spellStart"/>
      <w:r w:rsidRPr="00AF2BFF">
        <w:t>pipet</w:t>
      </w:r>
      <w:proofErr w:type="spellEnd"/>
      <w:r w:rsidRPr="00AF2BFF">
        <w:t xml:space="preserve"> the cell layer up and down in the </w:t>
      </w:r>
      <w:proofErr w:type="spellStart"/>
      <w:r w:rsidRPr="00AF2BFF">
        <w:t>microfuge</w:t>
      </w:r>
      <w:proofErr w:type="spellEnd"/>
      <w:r w:rsidRPr="00AF2BFF">
        <w:t xml:space="preserve"> tube to </w:t>
      </w:r>
      <w:r w:rsidR="00AF2BFF" w:rsidRPr="00AF2BFF">
        <w:t>disperse the cells</w:t>
      </w:r>
      <w:r w:rsidRPr="00AF2BFF">
        <w:t xml:space="preserve">.  </w:t>
      </w:r>
      <w:r w:rsidR="00992F94" w:rsidRPr="00AF2BFF">
        <w:t xml:space="preserve">After brief </w:t>
      </w:r>
      <w:proofErr w:type="spellStart"/>
      <w:r w:rsidR="00992F94" w:rsidRPr="00AF2BFF">
        <w:t>sonication</w:t>
      </w:r>
      <w:proofErr w:type="spellEnd"/>
      <w:r w:rsidR="00992F94" w:rsidRPr="00AF2BFF">
        <w:t xml:space="preserve">, </w:t>
      </w:r>
      <w:r w:rsidR="00AF2BFF" w:rsidRPr="00AF2BFF">
        <w:t xml:space="preserve">the </w:t>
      </w:r>
      <w:proofErr w:type="spellStart"/>
      <w:r w:rsidR="00AF2BFF" w:rsidRPr="00AF2BFF">
        <w:t>lysate</w:t>
      </w:r>
      <w:proofErr w:type="spellEnd"/>
      <w:r w:rsidRPr="00AF2BFF">
        <w:t xml:space="preserve"> can be used for protein assay, proteinase K (PK) digestion and </w:t>
      </w:r>
      <w:proofErr w:type="spellStart"/>
      <w:r w:rsidRPr="00AF2BFF">
        <w:t>immunoblotting</w:t>
      </w:r>
      <w:proofErr w:type="spellEnd"/>
      <w:r w:rsidRPr="00AF2BFF">
        <w:t>. For PK digestion reactions, 100</w:t>
      </w:r>
      <w:r w:rsidR="006A482E" w:rsidRPr="00AF2BFF">
        <w:t>µ</w:t>
      </w:r>
      <w:r w:rsidRPr="00AF2BFF">
        <w:t xml:space="preserve">g of </w:t>
      </w:r>
      <w:r w:rsidR="001A2B3A" w:rsidRPr="00AF2BFF">
        <w:t xml:space="preserve">total </w:t>
      </w:r>
      <w:r w:rsidR="00AD776D" w:rsidRPr="00AD776D">
        <w:t xml:space="preserve">protein </w:t>
      </w:r>
      <w:r w:rsidR="00AF2BFF">
        <w:t xml:space="preserve">is digested </w:t>
      </w:r>
      <w:r w:rsidR="00AD776D" w:rsidRPr="00AD776D">
        <w:t xml:space="preserve">with 3.5µg of PK in a </w:t>
      </w:r>
      <w:r w:rsidR="00AF2BFF">
        <w:t>final</w:t>
      </w:r>
      <w:r w:rsidR="00AD776D" w:rsidRPr="00AD776D">
        <w:t xml:space="preserve"> volume of 70µL (50µg/</w:t>
      </w:r>
      <w:proofErr w:type="spellStart"/>
      <w:r w:rsidR="00AD776D" w:rsidRPr="00AD776D">
        <w:t>mL</w:t>
      </w:r>
      <w:proofErr w:type="spellEnd"/>
      <w:r w:rsidR="00AD776D" w:rsidRPr="00AD776D">
        <w:t xml:space="preserve">). </w:t>
      </w:r>
      <w:r w:rsidR="00AF2BFF">
        <w:t xml:space="preserve">Best results are obtained with </w:t>
      </w:r>
      <w:r w:rsidR="00AD776D" w:rsidRPr="00AD776D">
        <w:t xml:space="preserve"> Roche recombinant PCR</w:t>
      </w:r>
      <w:r w:rsidR="00AF2BFF">
        <w:t>-</w:t>
      </w:r>
      <w:r w:rsidR="00AD776D" w:rsidRPr="00AD776D">
        <w:t xml:space="preserve">grade PK (cat# </w:t>
      </w:r>
      <w:r w:rsidR="00AD776D" w:rsidRPr="00AD776D">
        <w:rPr>
          <w:rFonts w:cs="Arial"/>
          <w:color w:val="000000"/>
          <w:shd w:val="clear" w:color="auto" w:fill="FFFFFF"/>
        </w:rPr>
        <w:t xml:space="preserve">03115828001) </w:t>
      </w:r>
      <w:r w:rsidR="00AD776D" w:rsidRPr="00AD776D">
        <w:t>in solution, which has a standardized activity of 50 or 600 Units/</w:t>
      </w:r>
      <w:proofErr w:type="spellStart"/>
      <w:r w:rsidR="00AD776D" w:rsidRPr="00AD776D">
        <w:t>mL</w:t>
      </w:r>
      <w:proofErr w:type="spellEnd"/>
      <w:r w:rsidR="00AD776D" w:rsidRPr="00AD776D">
        <w:t xml:space="preserve"> in the </w:t>
      </w:r>
      <w:proofErr w:type="spellStart"/>
      <w:r w:rsidR="00AD776D" w:rsidRPr="00AD776D">
        <w:t>chromozyme</w:t>
      </w:r>
      <w:proofErr w:type="spellEnd"/>
      <w:r w:rsidR="00AD776D" w:rsidRPr="00AD776D">
        <w:t xml:space="preserve"> and hemoglobin assays</w:t>
      </w:r>
      <w:r w:rsidR="00AF2BFF">
        <w:t>,</w:t>
      </w:r>
      <w:r w:rsidR="00D41DDF" w:rsidRPr="00AF2BFF">
        <w:t xml:space="preserve"> respectively</w:t>
      </w:r>
      <w:r w:rsidR="00AF2BFF">
        <w:t>,</w:t>
      </w:r>
      <w:r w:rsidR="00D41DDF" w:rsidRPr="00AF2BFF">
        <w:t xml:space="preserve"> to ensure consistent reproducible </w:t>
      </w:r>
      <w:r w:rsidR="001A2B3A" w:rsidRPr="00AF2BFF">
        <w:t xml:space="preserve">PK </w:t>
      </w:r>
      <w:r w:rsidR="00D41DDF" w:rsidRPr="00AF2BFF">
        <w:t xml:space="preserve">digestions. </w:t>
      </w:r>
    </w:p>
    <w:p w:rsidR="0037118C" w:rsidRDefault="0037118C" w:rsidP="0037118C">
      <w:pPr>
        <w:spacing w:after="0" w:line="240" w:lineRule="auto"/>
      </w:pPr>
    </w:p>
    <w:p w:rsidR="0037118C" w:rsidRDefault="0037118C" w:rsidP="0037118C">
      <w:pPr>
        <w:spacing w:after="0" w:line="240" w:lineRule="auto"/>
      </w:pPr>
    </w:p>
    <w:p w:rsidR="0037118C" w:rsidRDefault="0037118C" w:rsidP="0037118C">
      <w:pPr>
        <w:spacing w:after="0" w:line="240" w:lineRule="auto"/>
      </w:pPr>
    </w:p>
    <w:sectPr w:rsidR="0037118C" w:rsidSect="003C7D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0883"/>
    <w:rsid w:val="00121E2F"/>
    <w:rsid w:val="00163290"/>
    <w:rsid w:val="001A2B3A"/>
    <w:rsid w:val="001C4BA6"/>
    <w:rsid w:val="0037118C"/>
    <w:rsid w:val="00397CE2"/>
    <w:rsid w:val="003C7A6A"/>
    <w:rsid w:val="003C7D2F"/>
    <w:rsid w:val="004809DD"/>
    <w:rsid w:val="00626E4D"/>
    <w:rsid w:val="006A482E"/>
    <w:rsid w:val="00711847"/>
    <w:rsid w:val="00746A66"/>
    <w:rsid w:val="00784C1E"/>
    <w:rsid w:val="00851E95"/>
    <w:rsid w:val="00992F94"/>
    <w:rsid w:val="00A15995"/>
    <w:rsid w:val="00AD776D"/>
    <w:rsid w:val="00AF2BFF"/>
    <w:rsid w:val="00C54D31"/>
    <w:rsid w:val="00CC16CE"/>
    <w:rsid w:val="00D41DDF"/>
    <w:rsid w:val="00DF375B"/>
    <w:rsid w:val="00E13342"/>
    <w:rsid w:val="00EF6043"/>
    <w:rsid w:val="00FA0883"/>
    <w:rsid w:val="00FA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1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</dc:creator>
  <cp:lastModifiedBy>herbst</cp:lastModifiedBy>
  <cp:revision>2</cp:revision>
  <cp:lastPrinted>2013-04-25T16:00:00Z</cp:lastPrinted>
  <dcterms:created xsi:type="dcterms:W3CDTF">2013-04-30T15:43:00Z</dcterms:created>
  <dcterms:modified xsi:type="dcterms:W3CDTF">2013-04-30T15:43:00Z</dcterms:modified>
</cp:coreProperties>
</file>