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B627" w14:textId="77777777" w:rsidR="00086469" w:rsidRPr="004D3130" w:rsidRDefault="0096205E" w:rsidP="00086469">
      <w:pPr>
        <w:spacing w:line="480" w:lineRule="auto"/>
        <w:rPr>
          <w:rFonts w:cs="Domine"/>
          <w:color w:val="000000"/>
          <w:kern w:val="0"/>
          <w:sz w:val="36"/>
          <w:szCs w:val="36"/>
        </w:rPr>
      </w:pPr>
      <w:r w:rsidRPr="004D3130">
        <w:rPr>
          <w:rFonts w:cs="Domine"/>
          <w:b/>
          <w:color w:val="000000"/>
          <w:kern w:val="0"/>
          <w:sz w:val="36"/>
          <w:szCs w:val="36"/>
        </w:rPr>
        <w:t>Supplementary Analyses and Results</w:t>
      </w:r>
      <w:r w:rsidR="00086469" w:rsidRPr="004D3130">
        <w:rPr>
          <w:rFonts w:cs="Domine"/>
          <w:b/>
          <w:color w:val="000000"/>
          <w:kern w:val="0"/>
          <w:sz w:val="36"/>
          <w:szCs w:val="36"/>
        </w:rPr>
        <w:t xml:space="preserve"> </w:t>
      </w:r>
    </w:p>
    <w:p w14:paraId="46D8E2F6" w14:textId="191F73BB" w:rsidR="003C3832" w:rsidRPr="00E427B6" w:rsidRDefault="003C3832" w:rsidP="00374DDB">
      <w:pPr>
        <w:numPr>
          <w:ilvl w:val="0"/>
          <w:numId w:val="2"/>
        </w:numPr>
        <w:spacing w:line="480" w:lineRule="auto"/>
        <w:rPr>
          <w:rFonts w:cs="Domine"/>
          <w:kern w:val="0"/>
          <w:sz w:val="32"/>
          <w:szCs w:val="32"/>
        </w:rPr>
      </w:pPr>
      <w:r w:rsidRPr="00E427B6">
        <w:rPr>
          <w:rFonts w:cs="Domine"/>
          <w:b/>
          <w:kern w:val="0"/>
          <w:sz w:val="32"/>
          <w:szCs w:val="32"/>
        </w:rPr>
        <w:t>Simulation with COMETS</w:t>
      </w:r>
    </w:p>
    <w:p w14:paraId="1B9E0298" w14:textId="269FD771" w:rsidR="003C3832" w:rsidRPr="00E427B6" w:rsidRDefault="003C3832" w:rsidP="003C3832">
      <w:pPr>
        <w:spacing w:line="480" w:lineRule="auto"/>
        <w:rPr>
          <w:rFonts w:cs="Domine"/>
          <w:kern w:val="0"/>
          <w:szCs w:val="21"/>
        </w:rPr>
      </w:pPr>
      <w:r w:rsidRPr="00E427B6">
        <w:rPr>
          <w:rFonts w:cs="Domine"/>
          <w:kern w:val="0"/>
          <w:szCs w:val="21"/>
        </w:rPr>
        <w:t xml:space="preserve">   As described in the main text, we compared simulated current distribution</w:t>
      </w:r>
      <w:r w:rsidR="000916E8" w:rsidRPr="00E427B6">
        <w:rPr>
          <w:rFonts w:cs="Domine"/>
          <w:kern w:val="0"/>
          <w:szCs w:val="21"/>
        </w:rPr>
        <w:t>s</w:t>
      </w:r>
      <w:r w:rsidR="00C71E08" w:rsidRPr="00E427B6">
        <w:rPr>
          <w:rFonts w:cs="Domine"/>
          <w:kern w:val="0"/>
          <w:szCs w:val="21"/>
        </w:rPr>
        <w:t xml:space="preserve"> between “bi-cephalic” and “extra-cephalic”</w:t>
      </w:r>
      <w:r w:rsidRPr="00E427B6">
        <w:rPr>
          <w:rFonts w:cs="Domine"/>
          <w:kern w:val="0"/>
          <w:szCs w:val="21"/>
        </w:rPr>
        <w:t xml:space="preserve"> montage</w:t>
      </w:r>
      <w:r w:rsidR="00C71E08" w:rsidRPr="00E427B6">
        <w:rPr>
          <w:rFonts w:cs="Domine"/>
          <w:kern w:val="0"/>
          <w:szCs w:val="21"/>
        </w:rPr>
        <w:t>s</w:t>
      </w:r>
      <w:r w:rsidRPr="00E427B6">
        <w:rPr>
          <w:rFonts w:cs="Domine"/>
          <w:kern w:val="0"/>
          <w:szCs w:val="21"/>
        </w:rPr>
        <w:t xml:space="preserve">. </w:t>
      </w:r>
      <w:r w:rsidR="000916E8" w:rsidRPr="00E427B6">
        <w:rPr>
          <w:rFonts w:cs="Domine"/>
          <w:kern w:val="0"/>
          <w:szCs w:val="21"/>
        </w:rPr>
        <w:t>In all simulations, the anode and cathode electrode</w:t>
      </w:r>
      <w:r w:rsidR="00E207E5" w:rsidRPr="00E427B6">
        <w:rPr>
          <w:rFonts w:cs="Domine"/>
          <w:kern w:val="0"/>
          <w:szCs w:val="21"/>
        </w:rPr>
        <w:t xml:space="preserve"> pad</w:t>
      </w:r>
      <w:r w:rsidR="000916E8" w:rsidRPr="00E427B6">
        <w:rPr>
          <w:rFonts w:cs="Domine"/>
          <w:kern w:val="0"/>
          <w:szCs w:val="21"/>
        </w:rPr>
        <w:t xml:space="preserve">s were 5 </w:t>
      </w:r>
      <w:r w:rsidR="006C77F3" w:rsidRPr="00E427B6">
        <w:rPr>
          <w:rFonts w:cs="Domine"/>
          <w:kern w:val="0"/>
          <w:szCs w:val="21"/>
        </w:rPr>
        <w:t>×</w:t>
      </w:r>
      <w:r w:rsidR="000916E8" w:rsidRPr="00E427B6">
        <w:rPr>
          <w:rFonts w:cs="Domine"/>
          <w:kern w:val="0"/>
          <w:szCs w:val="21"/>
        </w:rPr>
        <w:t xml:space="preserve"> 7 cm</w:t>
      </w:r>
      <w:r w:rsidR="0076136A" w:rsidRPr="00E427B6">
        <w:rPr>
          <w:rFonts w:cs="Domine"/>
          <w:kern w:val="0"/>
          <w:szCs w:val="21"/>
        </w:rPr>
        <w:t xml:space="preserve"> in size,</w:t>
      </w:r>
      <w:r w:rsidR="00E207E5" w:rsidRPr="00E427B6">
        <w:rPr>
          <w:rFonts w:cs="Domine"/>
          <w:kern w:val="0"/>
          <w:szCs w:val="21"/>
        </w:rPr>
        <w:t xml:space="preserve"> and </w:t>
      </w:r>
      <w:r w:rsidR="007F4E92" w:rsidRPr="00E427B6">
        <w:rPr>
          <w:rFonts w:cs="Domine"/>
          <w:kern w:val="0"/>
          <w:szCs w:val="21"/>
        </w:rPr>
        <w:t xml:space="preserve">the </w:t>
      </w:r>
      <w:r w:rsidR="00E207E5" w:rsidRPr="00E427B6">
        <w:rPr>
          <w:rFonts w:cs="Domine"/>
          <w:kern w:val="0"/>
          <w:szCs w:val="21"/>
        </w:rPr>
        <w:t>injection current</w:t>
      </w:r>
      <w:r w:rsidR="0076136A" w:rsidRPr="00E427B6">
        <w:rPr>
          <w:rFonts w:cs="Domine"/>
          <w:kern w:val="0"/>
          <w:szCs w:val="21"/>
        </w:rPr>
        <w:t>s</w:t>
      </w:r>
      <w:r w:rsidR="00E207E5" w:rsidRPr="00E427B6">
        <w:rPr>
          <w:rFonts w:cs="Domine"/>
          <w:kern w:val="0"/>
          <w:szCs w:val="21"/>
        </w:rPr>
        <w:t xml:space="preserve"> of each pad </w:t>
      </w:r>
      <w:r w:rsidR="0076136A" w:rsidRPr="00E427B6">
        <w:rPr>
          <w:rFonts w:cs="Domine"/>
          <w:kern w:val="0"/>
          <w:szCs w:val="21"/>
        </w:rPr>
        <w:t xml:space="preserve">were </w:t>
      </w:r>
      <w:r w:rsidR="00E207E5" w:rsidRPr="00E427B6">
        <w:rPr>
          <w:rFonts w:cs="Domine"/>
          <w:kern w:val="0"/>
          <w:szCs w:val="21"/>
        </w:rPr>
        <w:t xml:space="preserve">1 mA and </w:t>
      </w:r>
      <w:r w:rsidR="0076136A" w:rsidRPr="00E427B6">
        <w:rPr>
          <w:rFonts w:cs="Domine"/>
          <w:kern w:val="0"/>
          <w:szCs w:val="21"/>
        </w:rPr>
        <w:t>−</w:t>
      </w:r>
      <w:r w:rsidR="00E207E5" w:rsidRPr="00E427B6">
        <w:rPr>
          <w:rFonts w:cs="Domine"/>
          <w:kern w:val="0"/>
          <w:szCs w:val="21"/>
        </w:rPr>
        <w:t>1 mA, respectively</w:t>
      </w:r>
      <w:r w:rsidR="000916E8" w:rsidRPr="00E427B6">
        <w:rPr>
          <w:rFonts w:cs="Domine"/>
          <w:kern w:val="0"/>
          <w:szCs w:val="21"/>
        </w:rPr>
        <w:t>. The electrode</w:t>
      </w:r>
      <w:r w:rsidR="007F4E92" w:rsidRPr="00E427B6">
        <w:rPr>
          <w:rFonts w:cs="Domine"/>
          <w:kern w:val="0"/>
          <w:szCs w:val="21"/>
        </w:rPr>
        <w:t xml:space="preserve"> positions</w:t>
      </w:r>
      <w:r w:rsidR="000916E8" w:rsidRPr="00E427B6">
        <w:rPr>
          <w:rFonts w:cs="Domine"/>
          <w:kern w:val="0"/>
          <w:szCs w:val="21"/>
        </w:rPr>
        <w:t xml:space="preserve"> </w:t>
      </w:r>
      <w:r w:rsidR="007F4E92" w:rsidRPr="00E427B6">
        <w:rPr>
          <w:rFonts w:cs="Domine"/>
          <w:kern w:val="0"/>
          <w:szCs w:val="21"/>
        </w:rPr>
        <w:t>are shown</w:t>
      </w:r>
      <w:r w:rsidR="000916E8" w:rsidRPr="00E427B6">
        <w:rPr>
          <w:rFonts w:cs="Domine"/>
          <w:kern w:val="0"/>
          <w:szCs w:val="21"/>
        </w:rPr>
        <w:t xml:space="preserve"> in Figure 1B</w:t>
      </w:r>
      <w:r w:rsidR="00596D8C" w:rsidRPr="00E427B6">
        <w:rPr>
          <w:rFonts w:cs="Domine"/>
          <w:kern w:val="0"/>
          <w:szCs w:val="21"/>
        </w:rPr>
        <w:t>. We used t</w:t>
      </w:r>
      <w:r w:rsidR="000916E8" w:rsidRPr="00E427B6">
        <w:rPr>
          <w:rFonts w:cs="Domine"/>
          <w:kern w:val="0"/>
          <w:szCs w:val="21"/>
        </w:rPr>
        <w:t>he human head model embedded in the CO</w:t>
      </w:r>
      <w:r w:rsidR="00596D8C" w:rsidRPr="00E427B6">
        <w:rPr>
          <w:rFonts w:cs="Domine"/>
          <w:kern w:val="0"/>
          <w:szCs w:val="21"/>
        </w:rPr>
        <w:t>METS toolbox, which was</w:t>
      </w:r>
      <w:r w:rsidR="000916E8" w:rsidRPr="00E427B6">
        <w:rPr>
          <w:rFonts w:cs="Domine"/>
          <w:kern w:val="0"/>
          <w:szCs w:val="21"/>
        </w:rPr>
        <w:t xml:space="preserve"> extracted from the standard Montreal Neurological Institute (MNI) brain atlas</w:t>
      </w:r>
      <w:r w:rsidR="00BF7026" w:rsidRPr="00E427B6">
        <w:rPr>
          <w:rFonts w:cs="Domine"/>
          <w:kern w:val="0"/>
          <w:szCs w:val="21"/>
        </w:rPr>
        <w:t xml:space="preserve"> [1]</w:t>
      </w:r>
      <w:r w:rsidR="000916E8" w:rsidRPr="00E427B6">
        <w:rPr>
          <w:rFonts w:cs="Domine"/>
          <w:kern w:val="0"/>
          <w:szCs w:val="21"/>
        </w:rPr>
        <w:t xml:space="preserve">. </w:t>
      </w:r>
    </w:p>
    <w:p w14:paraId="401ABB01" w14:textId="77777777" w:rsidR="006B2093" w:rsidRPr="00E427B6" w:rsidRDefault="006B2093" w:rsidP="003C3832">
      <w:pPr>
        <w:spacing w:line="480" w:lineRule="auto"/>
        <w:rPr>
          <w:rFonts w:cs="Domine"/>
          <w:kern w:val="0"/>
          <w:szCs w:val="21"/>
        </w:rPr>
      </w:pPr>
    </w:p>
    <w:p w14:paraId="0A43075E" w14:textId="32EDEBB7" w:rsidR="00904023" w:rsidRPr="00E427B6" w:rsidRDefault="00C9105A" w:rsidP="003C3832">
      <w:pPr>
        <w:spacing w:line="480" w:lineRule="auto"/>
        <w:rPr>
          <w:rFonts w:cs="Domine"/>
          <w:kern w:val="0"/>
          <w:szCs w:val="21"/>
        </w:rPr>
      </w:pPr>
      <w:r w:rsidRPr="00E427B6">
        <w:rPr>
          <w:rFonts w:cs="Domine"/>
          <w:kern w:val="0"/>
          <w:szCs w:val="21"/>
        </w:rPr>
        <w:t xml:space="preserve">    </w:t>
      </w:r>
      <w:r w:rsidR="001553B8" w:rsidRPr="00E427B6">
        <w:rPr>
          <w:rFonts w:cs="Domine"/>
          <w:kern w:val="0"/>
          <w:szCs w:val="21"/>
        </w:rPr>
        <w:t xml:space="preserve">As seen in </w:t>
      </w:r>
      <w:r w:rsidR="009F277E" w:rsidRPr="00EA697A">
        <w:rPr>
          <w:rFonts w:cs="Domine"/>
          <w:kern w:val="0"/>
          <w:szCs w:val="21"/>
        </w:rPr>
        <w:t>S1 Fig</w:t>
      </w:r>
      <w:r w:rsidR="001553B8" w:rsidRPr="00E427B6">
        <w:rPr>
          <w:rFonts w:cs="Domine"/>
          <w:kern w:val="0"/>
          <w:szCs w:val="21"/>
        </w:rPr>
        <w:t>,</w:t>
      </w:r>
      <w:r w:rsidRPr="00E427B6">
        <w:rPr>
          <w:rFonts w:cs="Domine"/>
          <w:kern w:val="0"/>
          <w:szCs w:val="21"/>
        </w:rPr>
        <w:t xml:space="preserve"> t</w:t>
      </w:r>
      <w:r w:rsidR="00B40DD2" w:rsidRPr="00E427B6">
        <w:rPr>
          <w:rFonts w:cs="Domine"/>
          <w:kern w:val="0"/>
          <w:szCs w:val="21"/>
        </w:rPr>
        <w:t xml:space="preserve">he cortical current distributions of both montages </w:t>
      </w:r>
      <w:r w:rsidR="001553B8" w:rsidRPr="00E427B6">
        <w:rPr>
          <w:rFonts w:cs="Domine"/>
          <w:kern w:val="0"/>
          <w:szCs w:val="21"/>
        </w:rPr>
        <w:t>showed</w:t>
      </w:r>
      <w:r w:rsidR="005471B2" w:rsidRPr="00E427B6">
        <w:rPr>
          <w:rFonts w:cs="Domine"/>
          <w:kern w:val="0"/>
          <w:szCs w:val="21"/>
        </w:rPr>
        <w:t xml:space="preserve"> </w:t>
      </w:r>
      <w:r w:rsidR="00B40DD2" w:rsidRPr="00E427B6">
        <w:rPr>
          <w:rFonts w:cs="Domine"/>
          <w:kern w:val="0"/>
          <w:szCs w:val="21"/>
        </w:rPr>
        <w:t>clear differences, particularly around</w:t>
      </w:r>
      <w:r w:rsidR="001553B8" w:rsidRPr="00E427B6">
        <w:rPr>
          <w:rFonts w:cs="Domine"/>
          <w:kern w:val="0"/>
          <w:szCs w:val="21"/>
        </w:rPr>
        <w:t xml:space="preserve"> the</w:t>
      </w:r>
      <w:r w:rsidR="00B40DD2" w:rsidRPr="00E427B6">
        <w:rPr>
          <w:rFonts w:cs="Domine"/>
          <w:kern w:val="0"/>
          <w:szCs w:val="21"/>
        </w:rPr>
        <w:t xml:space="preserve"> left temporal area. </w:t>
      </w:r>
      <w:r w:rsidR="00A043B4" w:rsidRPr="00E427B6">
        <w:rPr>
          <w:rFonts w:cs="Domine"/>
          <w:kern w:val="0"/>
          <w:szCs w:val="21"/>
        </w:rPr>
        <w:t xml:space="preserve">For the left hemisphere, </w:t>
      </w:r>
      <w:proofErr w:type="spellStart"/>
      <w:r w:rsidR="00A043B4" w:rsidRPr="00E427B6">
        <w:rPr>
          <w:rFonts w:cs="Domine"/>
          <w:kern w:val="0"/>
          <w:szCs w:val="21"/>
        </w:rPr>
        <w:t>tDCS</w:t>
      </w:r>
      <w:proofErr w:type="spellEnd"/>
      <w:r w:rsidR="00A043B4" w:rsidRPr="00E427B6">
        <w:rPr>
          <w:rFonts w:cs="Domine"/>
          <w:kern w:val="0"/>
          <w:szCs w:val="21"/>
        </w:rPr>
        <w:t xml:space="preserve"> with </w:t>
      </w:r>
      <w:r w:rsidR="00E4609C" w:rsidRPr="00E427B6">
        <w:rPr>
          <w:rFonts w:cs="Domine"/>
          <w:kern w:val="0"/>
          <w:szCs w:val="21"/>
        </w:rPr>
        <w:t>the “bi-cephalic” montage</w:t>
      </w:r>
      <w:r w:rsidR="00E4609C" w:rsidRPr="00E427B6">
        <w:t xml:space="preserve"> </w:t>
      </w:r>
      <w:r w:rsidR="00A043B4" w:rsidRPr="00E427B6">
        <w:t>activated</w:t>
      </w:r>
      <w:r w:rsidR="00E4609C" w:rsidRPr="00E427B6">
        <w:t xml:space="preserve"> </w:t>
      </w:r>
      <w:r w:rsidR="00A043B4" w:rsidRPr="00E427B6">
        <w:t xml:space="preserve">widespread </w:t>
      </w:r>
      <w:r w:rsidR="00E4609C" w:rsidRPr="00E427B6">
        <w:t>temporal areas</w:t>
      </w:r>
      <w:r w:rsidR="00E4609C" w:rsidRPr="00E427B6">
        <w:rPr>
          <w:rFonts w:cs="Domine"/>
          <w:kern w:val="0"/>
          <w:szCs w:val="21"/>
        </w:rPr>
        <w:t xml:space="preserve"> </w:t>
      </w:r>
      <w:r w:rsidR="00A043B4" w:rsidRPr="00E427B6">
        <w:rPr>
          <w:rFonts w:cs="Domine"/>
          <w:kern w:val="0"/>
          <w:szCs w:val="21"/>
        </w:rPr>
        <w:t xml:space="preserve">including </w:t>
      </w:r>
      <w:r w:rsidR="00992DA4" w:rsidRPr="00E427B6">
        <w:rPr>
          <w:rFonts w:cs="Domine"/>
          <w:kern w:val="0"/>
          <w:szCs w:val="21"/>
        </w:rPr>
        <w:t xml:space="preserve">the </w:t>
      </w:r>
      <w:r w:rsidR="00A043B4" w:rsidRPr="00E427B6">
        <w:rPr>
          <w:rFonts w:cs="Domine"/>
          <w:kern w:val="0"/>
          <w:szCs w:val="21"/>
        </w:rPr>
        <w:t>ATL and language-processing areas</w:t>
      </w:r>
      <w:r w:rsidR="00E4609C" w:rsidRPr="00E427B6">
        <w:rPr>
          <w:rFonts w:cs="Domine"/>
          <w:kern w:val="0"/>
          <w:szCs w:val="21"/>
        </w:rPr>
        <w:t>,</w:t>
      </w:r>
      <w:r w:rsidR="00A043B4" w:rsidRPr="00E427B6">
        <w:rPr>
          <w:rFonts w:cs="Domine"/>
          <w:kern w:val="0"/>
          <w:szCs w:val="21"/>
        </w:rPr>
        <w:t xml:space="preserve"> whereas </w:t>
      </w:r>
      <w:proofErr w:type="spellStart"/>
      <w:r w:rsidR="00A043B4" w:rsidRPr="00E427B6">
        <w:rPr>
          <w:rFonts w:cs="Domine"/>
          <w:kern w:val="0"/>
          <w:szCs w:val="21"/>
        </w:rPr>
        <w:t>tDCS</w:t>
      </w:r>
      <w:proofErr w:type="spellEnd"/>
      <w:r w:rsidR="00A043B4" w:rsidRPr="00E427B6">
        <w:rPr>
          <w:rFonts w:cs="Domine"/>
          <w:kern w:val="0"/>
          <w:szCs w:val="21"/>
        </w:rPr>
        <w:t xml:space="preserve"> with the “extra-cephalic” montage </w:t>
      </w:r>
      <w:r w:rsidR="002E3B4A" w:rsidRPr="00E427B6">
        <w:rPr>
          <w:rFonts w:cs="Domine"/>
          <w:kern w:val="0"/>
          <w:szCs w:val="21"/>
        </w:rPr>
        <w:t>generated little activit</w:t>
      </w:r>
      <w:r w:rsidR="00713D30" w:rsidRPr="00E427B6">
        <w:rPr>
          <w:rFonts w:cs="Domine"/>
          <w:kern w:val="0"/>
          <w:szCs w:val="21"/>
        </w:rPr>
        <w:t>y</w:t>
      </w:r>
      <w:r w:rsidR="002E3B4A" w:rsidRPr="00E427B6">
        <w:rPr>
          <w:rFonts w:cs="Domine"/>
          <w:kern w:val="0"/>
          <w:szCs w:val="21"/>
        </w:rPr>
        <w:t xml:space="preserve">. For the right hemisphere, </w:t>
      </w:r>
      <w:proofErr w:type="spellStart"/>
      <w:r w:rsidR="002E3B4A" w:rsidRPr="00E427B6">
        <w:rPr>
          <w:rFonts w:cs="Domine"/>
          <w:kern w:val="0"/>
          <w:szCs w:val="21"/>
        </w:rPr>
        <w:t>tDCS</w:t>
      </w:r>
      <w:proofErr w:type="spellEnd"/>
      <w:r w:rsidR="002E3B4A" w:rsidRPr="00E427B6">
        <w:rPr>
          <w:rFonts w:cs="Domine"/>
          <w:kern w:val="0"/>
          <w:szCs w:val="21"/>
        </w:rPr>
        <w:t xml:space="preserve"> with both montages activated widespread temporal areas</w:t>
      </w:r>
      <w:r w:rsidR="00713D30" w:rsidRPr="00E427B6">
        <w:rPr>
          <w:rFonts w:cs="Domine"/>
          <w:kern w:val="0"/>
          <w:szCs w:val="21"/>
        </w:rPr>
        <w:t>,</w:t>
      </w:r>
      <w:r w:rsidR="002E3B4A" w:rsidRPr="00E427B6">
        <w:rPr>
          <w:rFonts w:cs="Domine"/>
          <w:kern w:val="0"/>
          <w:szCs w:val="21"/>
        </w:rPr>
        <w:t xml:space="preserve"> including ATL. </w:t>
      </w:r>
    </w:p>
    <w:p w14:paraId="4BF6AEFC" w14:textId="1EC20403" w:rsidR="003C3832" w:rsidRDefault="00374DDB" w:rsidP="003C3832">
      <w:pPr>
        <w:spacing w:line="480" w:lineRule="auto"/>
        <w:rPr>
          <w:rFonts w:cs="Domine"/>
          <w:color w:val="FF0000"/>
          <w:kern w:val="0"/>
          <w:szCs w:val="21"/>
        </w:rPr>
      </w:pPr>
      <w:r>
        <w:rPr>
          <w:rFonts w:cs="Domine"/>
          <w:noProof/>
          <w:color w:val="FF0000"/>
          <w:kern w:val="0"/>
          <w:szCs w:val="21"/>
        </w:rPr>
        <w:lastRenderedPageBreak/>
        <w:drawing>
          <wp:inline distT="0" distB="0" distL="0" distR="0" wp14:anchorId="2A4C1914" wp14:editId="226D2A7C">
            <wp:extent cx="3594240" cy="244404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240" cy="2444040"/>
                    </a:xfrm>
                    <a:prstGeom prst="rect">
                      <a:avLst/>
                    </a:prstGeom>
                    <a:noFill/>
                    <a:ln>
                      <a:noFill/>
                    </a:ln>
                  </pic:spPr>
                </pic:pic>
              </a:graphicData>
            </a:graphic>
          </wp:inline>
        </w:drawing>
      </w:r>
    </w:p>
    <w:p w14:paraId="0024ACF5" w14:textId="3AFF3E34" w:rsidR="0050502A" w:rsidRPr="00E427B6" w:rsidRDefault="009F277E" w:rsidP="003C3832">
      <w:pPr>
        <w:spacing w:line="480" w:lineRule="auto"/>
        <w:rPr>
          <w:rFonts w:cs="Domine"/>
          <w:kern w:val="0"/>
          <w:szCs w:val="21"/>
        </w:rPr>
      </w:pPr>
      <w:r w:rsidRPr="00EA697A">
        <w:rPr>
          <w:rFonts w:cs="Domine"/>
          <w:b/>
          <w:kern w:val="0"/>
          <w:szCs w:val="21"/>
        </w:rPr>
        <w:t>S1 Fig.</w:t>
      </w:r>
      <w:r>
        <w:rPr>
          <w:rFonts w:cs="Domine"/>
          <w:color w:val="FF0000"/>
          <w:kern w:val="0"/>
          <w:szCs w:val="21"/>
        </w:rPr>
        <w:t xml:space="preserve"> </w:t>
      </w:r>
      <w:r w:rsidR="0050502A" w:rsidRPr="00EA697A">
        <w:rPr>
          <w:rFonts w:cs="Domine"/>
          <w:b/>
          <w:kern w:val="0"/>
          <w:szCs w:val="21"/>
        </w:rPr>
        <w:t>Simulated current distribution for “bi-cephalic” electrode montage (A) and “extra-cephalic” referenc</w:t>
      </w:r>
      <w:r w:rsidR="00374DDB" w:rsidRPr="00EA697A">
        <w:rPr>
          <w:rFonts w:cs="Domine"/>
          <w:b/>
          <w:kern w:val="0"/>
          <w:szCs w:val="21"/>
        </w:rPr>
        <w:t>e montage (B)</w:t>
      </w:r>
      <w:r w:rsidR="00374DDB" w:rsidRPr="00E427B6">
        <w:rPr>
          <w:rFonts w:cs="Domine"/>
          <w:kern w:val="0"/>
          <w:szCs w:val="21"/>
        </w:rPr>
        <w:t>.</w:t>
      </w:r>
    </w:p>
    <w:p w14:paraId="03766956" w14:textId="77777777" w:rsidR="00374DDB" w:rsidRDefault="00374DDB" w:rsidP="003C3832">
      <w:pPr>
        <w:spacing w:line="480" w:lineRule="auto"/>
        <w:rPr>
          <w:rFonts w:cs="Domine"/>
          <w:color w:val="FF0000"/>
          <w:kern w:val="0"/>
          <w:szCs w:val="21"/>
        </w:rPr>
      </w:pPr>
    </w:p>
    <w:p w14:paraId="7013AB41" w14:textId="28AFF854" w:rsidR="00374DDB" w:rsidRPr="00E427B6" w:rsidRDefault="00374DDB" w:rsidP="00374DDB">
      <w:pPr>
        <w:numPr>
          <w:ilvl w:val="0"/>
          <w:numId w:val="2"/>
        </w:numPr>
        <w:spacing w:line="480" w:lineRule="auto"/>
        <w:rPr>
          <w:rFonts w:cs="Domine"/>
          <w:kern w:val="0"/>
          <w:sz w:val="32"/>
          <w:szCs w:val="32"/>
        </w:rPr>
      </w:pPr>
      <w:r w:rsidRPr="00E427B6">
        <w:rPr>
          <w:rFonts w:cs="Domine"/>
          <w:b/>
          <w:kern w:val="0"/>
          <w:sz w:val="32"/>
          <w:szCs w:val="32"/>
        </w:rPr>
        <w:t xml:space="preserve">Additional analyses </w:t>
      </w:r>
      <w:r w:rsidR="00385BBA" w:rsidRPr="00E427B6">
        <w:rPr>
          <w:rFonts w:cs="Domine"/>
          <w:b/>
          <w:kern w:val="0"/>
          <w:sz w:val="32"/>
          <w:szCs w:val="32"/>
        </w:rPr>
        <w:t xml:space="preserve">of </w:t>
      </w:r>
      <w:r w:rsidRPr="00E427B6">
        <w:rPr>
          <w:rFonts w:cs="Domine"/>
          <w:b/>
          <w:kern w:val="0"/>
          <w:sz w:val="32"/>
          <w:szCs w:val="32"/>
        </w:rPr>
        <w:t xml:space="preserve">the effect of </w:t>
      </w:r>
      <w:proofErr w:type="spellStart"/>
      <w:r w:rsidRPr="00E427B6">
        <w:rPr>
          <w:rFonts w:cs="Domine"/>
          <w:b/>
          <w:kern w:val="0"/>
          <w:sz w:val="32"/>
          <w:szCs w:val="32"/>
        </w:rPr>
        <w:t>tDCS</w:t>
      </w:r>
      <w:proofErr w:type="spellEnd"/>
      <w:r w:rsidRPr="00E427B6">
        <w:rPr>
          <w:rFonts w:cs="Domine"/>
          <w:b/>
          <w:kern w:val="0"/>
          <w:sz w:val="32"/>
          <w:szCs w:val="32"/>
        </w:rPr>
        <w:t xml:space="preserve"> on insight </w:t>
      </w:r>
    </w:p>
    <w:p w14:paraId="2ACED094" w14:textId="37ADAC4B" w:rsidR="007C5C17" w:rsidRPr="00E427B6" w:rsidRDefault="00904023" w:rsidP="00904023">
      <w:pPr>
        <w:numPr>
          <w:ilvl w:val="1"/>
          <w:numId w:val="2"/>
        </w:numPr>
        <w:spacing w:line="480" w:lineRule="auto"/>
        <w:rPr>
          <w:rFonts w:cs="Domine"/>
          <w:b/>
          <w:kern w:val="0"/>
          <w:sz w:val="28"/>
          <w:szCs w:val="28"/>
        </w:rPr>
      </w:pPr>
      <w:r w:rsidRPr="00E427B6">
        <w:rPr>
          <w:rFonts w:cs="Domine"/>
          <w:b/>
          <w:kern w:val="0"/>
          <w:sz w:val="28"/>
          <w:szCs w:val="28"/>
        </w:rPr>
        <w:t>Effect sizes for data combined between the two montages</w:t>
      </w:r>
    </w:p>
    <w:p w14:paraId="21527B1A" w14:textId="03CF85A6" w:rsidR="007C5C17" w:rsidRPr="00266D05" w:rsidRDefault="00904023" w:rsidP="00E427B6">
      <w:pPr>
        <w:spacing w:line="480" w:lineRule="auto"/>
        <w:ind w:firstLineChars="100" w:firstLine="210"/>
        <w:rPr>
          <w:rFonts w:cs="Domine"/>
          <w:kern w:val="0"/>
          <w:szCs w:val="21"/>
        </w:rPr>
      </w:pPr>
      <w:r w:rsidRPr="00E427B6">
        <w:rPr>
          <w:rFonts w:cs="Domine"/>
          <w:kern w:val="0"/>
          <w:szCs w:val="21"/>
        </w:rPr>
        <w:t>W</w:t>
      </w:r>
      <w:r w:rsidR="007C5C17" w:rsidRPr="004D3130">
        <w:rPr>
          <w:rFonts w:cs="Domine"/>
          <w:color w:val="000000"/>
          <w:kern w:val="0"/>
          <w:szCs w:val="21"/>
        </w:rPr>
        <w:t xml:space="preserve">e calculated effect sizes for data combined between the two montage groups. In this analysis, we first tested whether data from the two montage groups could be combined or not, </w:t>
      </w:r>
      <w:r w:rsidR="007C5C17">
        <w:rPr>
          <w:rFonts w:cs="Domine"/>
          <w:color w:val="000000"/>
          <w:kern w:val="0"/>
          <w:szCs w:val="21"/>
        </w:rPr>
        <w:t>using</w:t>
      </w:r>
      <w:r w:rsidR="007C5C17" w:rsidRPr="00266D05">
        <w:rPr>
          <w:rFonts w:cs="Domine"/>
          <w:kern w:val="0"/>
          <w:szCs w:val="21"/>
        </w:rPr>
        <w:t xml:space="preserve"> mixed-design ANOVA </w:t>
      </w:r>
      <w:r w:rsidR="007C5C17">
        <w:rPr>
          <w:rFonts w:cs="Domine"/>
          <w:kern w:val="0"/>
          <w:szCs w:val="21"/>
        </w:rPr>
        <w:t>with</w:t>
      </w:r>
      <w:r w:rsidR="007C5C17" w:rsidRPr="00266D05">
        <w:rPr>
          <w:rFonts w:cs="Domine"/>
          <w:kern w:val="0"/>
          <w:szCs w:val="21"/>
        </w:rPr>
        <w:t xml:space="preserve"> </w:t>
      </w:r>
      <w:proofErr w:type="spellStart"/>
      <w:r w:rsidR="007C5C17" w:rsidRPr="00266D05">
        <w:rPr>
          <w:rFonts w:cs="Domine"/>
          <w:kern w:val="0"/>
          <w:szCs w:val="21"/>
        </w:rPr>
        <w:t>tDCS</w:t>
      </w:r>
      <w:proofErr w:type="spellEnd"/>
      <w:r w:rsidR="007C5C17" w:rsidRPr="00266D05">
        <w:rPr>
          <w:rFonts w:cs="Domine"/>
          <w:kern w:val="0"/>
          <w:szCs w:val="21"/>
        </w:rPr>
        <w:t xml:space="preserve"> session (active vs. sham) as a within-subjects factor and electrode montage (bi-cephalic vs. extra-cephalic) as a between-subjects factor.</w:t>
      </w:r>
      <w:r w:rsidR="007C5C17">
        <w:rPr>
          <w:rFonts w:cs="Domine"/>
          <w:color w:val="000000"/>
          <w:kern w:val="0"/>
          <w:szCs w:val="21"/>
        </w:rPr>
        <w:t xml:space="preserve"> </w:t>
      </w:r>
      <w:r w:rsidR="007C5C17" w:rsidRPr="004D3130">
        <w:rPr>
          <w:rFonts w:cs="Domine"/>
          <w:color w:val="000000"/>
          <w:kern w:val="0"/>
          <w:szCs w:val="21"/>
        </w:rPr>
        <w:t>After confirming that main effect of montage was not significant, we combined data between the</w:t>
      </w:r>
      <w:r w:rsidR="007C5C17" w:rsidRPr="00266D05">
        <w:rPr>
          <w:rFonts w:cs="Domine"/>
          <w:kern w:val="0"/>
          <w:szCs w:val="21"/>
        </w:rPr>
        <w:t xml:space="preserve"> two montage</w:t>
      </w:r>
      <w:r w:rsidR="007C5C17">
        <w:rPr>
          <w:rFonts w:cs="Domine"/>
          <w:kern w:val="0"/>
          <w:szCs w:val="21"/>
        </w:rPr>
        <w:t xml:space="preserve"> types</w:t>
      </w:r>
      <w:r w:rsidR="007C5C17" w:rsidRPr="00266D05">
        <w:rPr>
          <w:rFonts w:cs="Domine"/>
          <w:kern w:val="0"/>
          <w:szCs w:val="21"/>
        </w:rPr>
        <w:t xml:space="preserve"> and calculated effect sizes.</w:t>
      </w:r>
    </w:p>
    <w:p w14:paraId="744952A2" w14:textId="77777777" w:rsidR="007C5C17" w:rsidRDefault="007C5C17" w:rsidP="00904023">
      <w:pPr>
        <w:autoSpaceDE w:val="0"/>
        <w:autoSpaceDN w:val="0"/>
        <w:adjustRightInd w:val="0"/>
        <w:spacing w:line="480" w:lineRule="auto"/>
        <w:rPr>
          <w:rFonts w:cs="Domine"/>
          <w:kern w:val="0"/>
          <w:szCs w:val="21"/>
        </w:rPr>
      </w:pPr>
    </w:p>
    <w:p w14:paraId="3BF407EA" w14:textId="5721D1EB" w:rsidR="007C5C17" w:rsidRPr="00AB6742" w:rsidRDefault="009F277E" w:rsidP="00904023">
      <w:pPr>
        <w:autoSpaceDE w:val="0"/>
        <w:autoSpaceDN w:val="0"/>
        <w:adjustRightInd w:val="0"/>
        <w:spacing w:line="480" w:lineRule="auto"/>
        <w:ind w:firstLineChars="100" w:firstLine="210"/>
        <w:rPr>
          <w:rFonts w:eastAsia="ＭＳ ゴシック"/>
          <w:kern w:val="0"/>
          <w:szCs w:val="21"/>
        </w:rPr>
      </w:pPr>
      <w:r w:rsidRPr="00EA697A">
        <w:rPr>
          <w:rFonts w:cs="Domine"/>
          <w:kern w:val="0"/>
          <w:szCs w:val="21"/>
        </w:rPr>
        <w:t>S1 Table</w:t>
      </w:r>
      <w:r>
        <w:rPr>
          <w:rFonts w:cs="Domine"/>
          <w:color w:val="FF0000"/>
          <w:kern w:val="0"/>
          <w:szCs w:val="21"/>
        </w:rPr>
        <w:t xml:space="preserve"> </w:t>
      </w:r>
      <w:r w:rsidR="007C5C17" w:rsidRPr="00266D05">
        <w:rPr>
          <w:rFonts w:cs="Domine"/>
          <w:kern w:val="0"/>
          <w:szCs w:val="21"/>
        </w:rPr>
        <w:t xml:space="preserve">summarizes the results of the mixed-design ANOVA using the </w:t>
      </w:r>
      <w:proofErr w:type="spellStart"/>
      <w:r w:rsidR="007C5C17" w:rsidRPr="00266D05">
        <w:rPr>
          <w:rFonts w:cs="Domine"/>
          <w:kern w:val="0"/>
          <w:szCs w:val="21"/>
        </w:rPr>
        <w:t>MATLAB</w:t>
      </w:r>
      <w:proofErr w:type="spellEnd"/>
      <w:r w:rsidR="007C5C17" w:rsidRPr="00266D05">
        <w:rPr>
          <w:rFonts w:cs="Domine"/>
          <w:kern w:val="0"/>
          <w:szCs w:val="21"/>
        </w:rPr>
        <w:t xml:space="preserve"> function </w:t>
      </w:r>
      <w:proofErr w:type="spellStart"/>
      <w:r w:rsidR="007C5C17" w:rsidRPr="00266D05">
        <w:rPr>
          <w:rFonts w:eastAsia="ＭＳ ゴシック" w:cs="ＭＳ ゴシック"/>
          <w:kern w:val="0"/>
          <w:szCs w:val="21"/>
        </w:rPr>
        <w:t>mixed_between_within_anova.m</w:t>
      </w:r>
      <w:proofErr w:type="spellEnd"/>
      <w:r w:rsidR="007C5C17" w:rsidRPr="00266D05">
        <w:rPr>
          <w:rFonts w:eastAsia="ＭＳ ゴシック" w:cs="ＭＳ ゴシック"/>
          <w:kern w:val="0"/>
          <w:szCs w:val="21"/>
        </w:rPr>
        <w:t xml:space="preserve"> </w:t>
      </w:r>
      <w:r w:rsidR="007C5C17">
        <w:rPr>
          <w:rFonts w:eastAsia="ＭＳ ゴシック" w:cs="ＭＳ ゴシック"/>
          <w:kern w:val="0"/>
          <w:szCs w:val="21"/>
        </w:rPr>
        <w:t xml:space="preserve">in the </w:t>
      </w:r>
      <w:proofErr w:type="spellStart"/>
      <w:r w:rsidR="007C5C17">
        <w:rPr>
          <w:rFonts w:eastAsia="ＭＳ ゴシック" w:cs="ＭＳ ゴシック"/>
          <w:kern w:val="0"/>
          <w:szCs w:val="21"/>
        </w:rPr>
        <w:t>MATLAB</w:t>
      </w:r>
      <w:proofErr w:type="spellEnd"/>
      <w:r w:rsidR="007C5C17">
        <w:rPr>
          <w:rFonts w:eastAsia="ＭＳ ゴシック" w:cs="ＭＳ ゴシック"/>
          <w:kern w:val="0"/>
          <w:szCs w:val="21"/>
        </w:rPr>
        <w:t xml:space="preserve"> Central File Exchange </w:t>
      </w:r>
      <w:r w:rsidR="007C5C17" w:rsidRPr="00266D05">
        <w:rPr>
          <w:rFonts w:eastAsia="ＭＳ ゴシック" w:cs="ＭＳ ゴシック"/>
          <w:kern w:val="0"/>
          <w:szCs w:val="21"/>
        </w:rPr>
        <w:t xml:space="preserve">by </w:t>
      </w:r>
      <w:r w:rsidR="007C5C17" w:rsidRPr="00266D05">
        <w:rPr>
          <w:rFonts w:eastAsia="ＭＳ ゴシック" w:cs="ＭＳ ゴシック"/>
          <w:kern w:val="0"/>
          <w:szCs w:val="21"/>
        </w:rPr>
        <w:lastRenderedPageBreak/>
        <w:t>Matthew Johnson</w:t>
      </w:r>
      <w:r w:rsidR="007C5C17" w:rsidRPr="00266D05">
        <w:rPr>
          <w:rFonts w:cs="Domine"/>
          <w:kern w:val="0"/>
          <w:szCs w:val="21"/>
        </w:rPr>
        <w:t xml:space="preserve">. Significant main effects of </w:t>
      </w:r>
      <w:proofErr w:type="spellStart"/>
      <w:r w:rsidR="007C5C17" w:rsidRPr="00266D05">
        <w:rPr>
          <w:rFonts w:cs="Domine"/>
          <w:kern w:val="0"/>
          <w:szCs w:val="21"/>
        </w:rPr>
        <w:t>tDCS</w:t>
      </w:r>
      <w:proofErr w:type="spellEnd"/>
      <w:r w:rsidR="007C5C17" w:rsidRPr="00266D05">
        <w:rPr>
          <w:rFonts w:cs="Domine"/>
          <w:kern w:val="0"/>
          <w:szCs w:val="21"/>
        </w:rPr>
        <w:t xml:space="preserve"> session and montage were not found. Moreover, the inter</w:t>
      </w:r>
      <w:r w:rsidR="007C5C17" w:rsidRPr="004D3130">
        <w:rPr>
          <w:rFonts w:cs="Domine"/>
          <w:color w:val="000000"/>
          <w:kern w:val="0"/>
          <w:szCs w:val="21"/>
        </w:rPr>
        <w:t xml:space="preserve">action between </w:t>
      </w:r>
      <w:proofErr w:type="spellStart"/>
      <w:r w:rsidR="007C5C17" w:rsidRPr="004D3130">
        <w:rPr>
          <w:rFonts w:cs="Domine"/>
          <w:color w:val="000000"/>
          <w:kern w:val="0"/>
          <w:szCs w:val="21"/>
        </w:rPr>
        <w:t>tDCS</w:t>
      </w:r>
      <w:proofErr w:type="spellEnd"/>
      <w:r w:rsidR="007C5C17" w:rsidRPr="004D3130">
        <w:rPr>
          <w:rFonts w:cs="Domine"/>
          <w:color w:val="000000"/>
          <w:kern w:val="0"/>
          <w:szCs w:val="21"/>
        </w:rPr>
        <w:t xml:space="preserve"> session and montage was not significant. These results support the validity of combining data between the two montage</w:t>
      </w:r>
      <w:r w:rsidR="007C5C17">
        <w:rPr>
          <w:rFonts w:cs="Domine"/>
          <w:color w:val="000000"/>
          <w:kern w:val="0"/>
          <w:szCs w:val="21"/>
        </w:rPr>
        <w:t xml:space="preserve"> types</w:t>
      </w:r>
      <w:r w:rsidR="007C5C17" w:rsidRPr="004D3130">
        <w:rPr>
          <w:rFonts w:cs="Domine"/>
          <w:color w:val="000000"/>
          <w:kern w:val="0"/>
          <w:szCs w:val="21"/>
        </w:rPr>
        <w:t xml:space="preserve">. </w:t>
      </w:r>
    </w:p>
    <w:p w14:paraId="1BE0679D" w14:textId="77777777" w:rsidR="007C5C17" w:rsidRPr="00266D05" w:rsidRDefault="007C5C17" w:rsidP="00904023">
      <w:pPr>
        <w:spacing w:line="480" w:lineRule="auto"/>
        <w:rPr>
          <w:rFonts w:cs="Domine"/>
          <w:kern w:val="0"/>
          <w:szCs w:val="21"/>
        </w:rPr>
      </w:pPr>
    </w:p>
    <w:p w14:paraId="0AF3B014" w14:textId="153FD696" w:rsidR="007C5C17" w:rsidRPr="00266D05" w:rsidRDefault="009F277E" w:rsidP="00904023">
      <w:pPr>
        <w:spacing w:line="480" w:lineRule="auto"/>
        <w:rPr>
          <w:rFonts w:cs="Domine"/>
          <w:kern w:val="0"/>
          <w:szCs w:val="21"/>
        </w:rPr>
      </w:pPr>
      <w:r w:rsidRPr="00EA697A">
        <w:rPr>
          <w:rFonts w:cs="Domine"/>
          <w:b/>
          <w:kern w:val="0"/>
          <w:szCs w:val="21"/>
        </w:rPr>
        <w:t xml:space="preserve">S1 Table. </w:t>
      </w:r>
      <w:r w:rsidR="007C5C17" w:rsidRPr="00266D05">
        <w:rPr>
          <w:rFonts w:cs="Domine"/>
          <w:b/>
          <w:kern w:val="0"/>
          <w:szCs w:val="21"/>
        </w:rPr>
        <w:t>Results of mixed-design ANOVA.</w:t>
      </w:r>
    </w:p>
    <w:tbl>
      <w:tblPr>
        <w:tblW w:w="87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364"/>
        <w:gridCol w:w="1984"/>
        <w:gridCol w:w="1985"/>
        <w:gridCol w:w="2126"/>
      </w:tblGrid>
      <w:tr w:rsidR="007C5C17" w:rsidRPr="00266D05" w14:paraId="5E98DCE0" w14:textId="77777777" w:rsidTr="00C90A5B">
        <w:tc>
          <w:tcPr>
            <w:tcW w:w="1298" w:type="dxa"/>
          </w:tcPr>
          <w:p w14:paraId="41B6B207" w14:textId="77777777" w:rsidR="007C5C17" w:rsidRPr="00266D05" w:rsidRDefault="007C5C17" w:rsidP="00C90A5B">
            <w:pPr>
              <w:jc w:val="center"/>
              <w:rPr>
                <w:rFonts w:cs="Domine"/>
                <w:kern w:val="0"/>
                <w:szCs w:val="21"/>
              </w:rPr>
            </w:pPr>
            <w:r w:rsidRPr="00266D05">
              <w:rPr>
                <w:rFonts w:cs="Domine"/>
                <w:b/>
                <w:kern w:val="0"/>
                <w:szCs w:val="21"/>
              </w:rPr>
              <w:t>Task</w:t>
            </w:r>
          </w:p>
        </w:tc>
        <w:tc>
          <w:tcPr>
            <w:tcW w:w="1364" w:type="dxa"/>
          </w:tcPr>
          <w:p w14:paraId="18D88A51" w14:textId="77777777" w:rsidR="007C5C17" w:rsidRPr="00266D05" w:rsidRDefault="007C5C17" w:rsidP="00C90A5B">
            <w:pPr>
              <w:jc w:val="center"/>
              <w:rPr>
                <w:rFonts w:cs="Domine"/>
                <w:kern w:val="0"/>
                <w:szCs w:val="21"/>
              </w:rPr>
            </w:pPr>
            <w:r w:rsidRPr="00266D05">
              <w:rPr>
                <w:rFonts w:cs="Domine"/>
                <w:b/>
                <w:kern w:val="0"/>
                <w:szCs w:val="21"/>
              </w:rPr>
              <w:t>Measure</w:t>
            </w:r>
          </w:p>
        </w:tc>
        <w:tc>
          <w:tcPr>
            <w:tcW w:w="1984" w:type="dxa"/>
          </w:tcPr>
          <w:p w14:paraId="463EFBC0" w14:textId="77777777" w:rsidR="007C5C17" w:rsidRPr="00266D05" w:rsidRDefault="007C5C17" w:rsidP="00C90A5B">
            <w:pPr>
              <w:jc w:val="center"/>
              <w:rPr>
                <w:rFonts w:cs="Domine"/>
                <w:kern w:val="0"/>
                <w:szCs w:val="21"/>
              </w:rPr>
            </w:pPr>
            <w:r w:rsidRPr="00266D05">
              <w:rPr>
                <w:rFonts w:cs="Domine"/>
                <w:b/>
                <w:kern w:val="0"/>
                <w:szCs w:val="21"/>
              </w:rPr>
              <w:t xml:space="preserve">Main effect </w:t>
            </w:r>
          </w:p>
          <w:p w14:paraId="794CC2AC" w14:textId="77777777" w:rsidR="007C5C17" w:rsidRPr="00266D05" w:rsidRDefault="007C5C17" w:rsidP="00C90A5B">
            <w:pPr>
              <w:jc w:val="center"/>
              <w:rPr>
                <w:rFonts w:cs="Domine"/>
                <w:kern w:val="0"/>
                <w:szCs w:val="21"/>
              </w:rPr>
            </w:pPr>
            <w:r w:rsidRPr="00266D05">
              <w:rPr>
                <w:rFonts w:cs="Domine"/>
                <w:b/>
                <w:kern w:val="0"/>
                <w:szCs w:val="21"/>
              </w:rPr>
              <w:t>(session)</w:t>
            </w:r>
          </w:p>
        </w:tc>
        <w:tc>
          <w:tcPr>
            <w:tcW w:w="1985" w:type="dxa"/>
          </w:tcPr>
          <w:p w14:paraId="10D53D18" w14:textId="77777777" w:rsidR="007C5C17" w:rsidRPr="00266D05" w:rsidRDefault="007C5C17" w:rsidP="00C90A5B">
            <w:pPr>
              <w:jc w:val="center"/>
              <w:rPr>
                <w:rFonts w:cs="Domine"/>
                <w:kern w:val="0"/>
                <w:szCs w:val="21"/>
              </w:rPr>
            </w:pPr>
            <w:r w:rsidRPr="00266D05">
              <w:rPr>
                <w:rFonts w:cs="Domine"/>
                <w:b/>
                <w:kern w:val="0"/>
                <w:szCs w:val="21"/>
              </w:rPr>
              <w:t>Main effect</w:t>
            </w:r>
          </w:p>
          <w:p w14:paraId="5F9577E4" w14:textId="77777777" w:rsidR="007C5C17" w:rsidRPr="00266D05" w:rsidRDefault="007C5C17" w:rsidP="00C90A5B">
            <w:pPr>
              <w:jc w:val="center"/>
              <w:rPr>
                <w:rFonts w:cs="Domine"/>
                <w:kern w:val="0"/>
                <w:szCs w:val="21"/>
              </w:rPr>
            </w:pPr>
            <w:r w:rsidRPr="00266D05">
              <w:rPr>
                <w:rFonts w:cs="Domine"/>
                <w:b/>
                <w:kern w:val="0"/>
                <w:szCs w:val="21"/>
              </w:rPr>
              <w:t>(montage)</w:t>
            </w:r>
          </w:p>
        </w:tc>
        <w:tc>
          <w:tcPr>
            <w:tcW w:w="2126" w:type="dxa"/>
          </w:tcPr>
          <w:p w14:paraId="04254C2F" w14:textId="77777777" w:rsidR="007C5C17" w:rsidRPr="00266D05" w:rsidRDefault="007C5C17" w:rsidP="00C90A5B">
            <w:pPr>
              <w:jc w:val="center"/>
              <w:rPr>
                <w:rFonts w:cs="Domine"/>
                <w:kern w:val="0"/>
                <w:szCs w:val="21"/>
              </w:rPr>
            </w:pPr>
            <w:r w:rsidRPr="00266D05">
              <w:rPr>
                <w:rFonts w:cs="Domine"/>
                <w:b/>
                <w:kern w:val="0"/>
                <w:szCs w:val="21"/>
              </w:rPr>
              <w:t>Interaction</w:t>
            </w:r>
          </w:p>
          <w:p w14:paraId="25E85F33" w14:textId="77777777" w:rsidR="007C5C17" w:rsidRPr="00266D05" w:rsidRDefault="007C5C17" w:rsidP="00C90A5B">
            <w:pPr>
              <w:jc w:val="center"/>
              <w:rPr>
                <w:rFonts w:cs="Domine"/>
                <w:kern w:val="0"/>
                <w:szCs w:val="21"/>
              </w:rPr>
            </w:pPr>
            <w:r w:rsidRPr="00266D05">
              <w:rPr>
                <w:rFonts w:cs="Domine"/>
                <w:b/>
                <w:kern w:val="0"/>
                <w:szCs w:val="21"/>
              </w:rPr>
              <w:t>(</w:t>
            </w:r>
            <w:proofErr w:type="spellStart"/>
            <w:r w:rsidRPr="00266D05">
              <w:rPr>
                <w:rFonts w:cs="Domine"/>
                <w:b/>
                <w:kern w:val="0"/>
                <w:szCs w:val="21"/>
              </w:rPr>
              <w:t>session×montage</w:t>
            </w:r>
            <w:proofErr w:type="spellEnd"/>
            <w:r w:rsidRPr="00266D05">
              <w:rPr>
                <w:rFonts w:cs="Domine"/>
                <w:b/>
                <w:kern w:val="0"/>
                <w:szCs w:val="21"/>
              </w:rPr>
              <w:t>)</w:t>
            </w:r>
          </w:p>
        </w:tc>
      </w:tr>
      <w:tr w:rsidR="007C5C17" w:rsidRPr="00266D05" w14:paraId="5B7399C5" w14:textId="77777777" w:rsidTr="00C90A5B">
        <w:tc>
          <w:tcPr>
            <w:tcW w:w="1298" w:type="dxa"/>
          </w:tcPr>
          <w:p w14:paraId="295E63CE" w14:textId="77777777" w:rsidR="007C5C17" w:rsidRPr="00266D05" w:rsidRDefault="007C5C17" w:rsidP="00C90A5B">
            <w:pPr>
              <w:jc w:val="center"/>
              <w:rPr>
                <w:rFonts w:cs="Domine"/>
                <w:kern w:val="0"/>
                <w:szCs w:val="21"/>
              </w:rPr>
            </w:pPr>
            <w:r w:rsidRPr="00266D05">
              <w:rPr>
                <w:rFonts w:cs="Domine"/>
                <w:b/>
                <w:kern w:val="0"/>
                <w:szCs w:val="21"/>
              </w:rPr>
              <w:t>Matchstick</w:t>
            </w:r>
          </w:p>
        </w:tc>
        <w:tc>
          <w:tcPr>
            <w:tcW w:w="1364" w:type="dxa"/>
          </w:tcPr>
          <w:p w14:paraId="252794ED" w14:textId="77777777" w:rsidR="007C5C17" w:rsidRPr="00266D05" w:rsidRDefault="007C5C17" w:rsidP="00C90A5B">
            <w:pPr>
              <w:jc w:val="center"/>
              <w:rPr>
                <w:rFonts w:cs="Domine"/>
                <w:kern w:val="0"/>
                <w:szCs w:val="21"/>
              </w:rPr>
            </w:pPr>
            <w:r w:rsidRPr="00266D05">
              <w:rPr>
                <w:rFonts w:cs="Domine"/>
                <w:kern w:val="0"/>
                <w:szCs w:val="21"/>
              </w:rPr>
              <w:t>Number /</w:t>
            </w:r>
          </w:p>
          <w:p w14:paraId="7A891FB0" w14:textId="77777777" w:rsidR="007C5C17" w:rsidRPr="00266D05" w:rsidRDefault="007C5C17" w:rsidP="00C90A5B">
            <w:pPr>
              <w:jc w:val="center"/>
              <w:rPr>
                <w:rFonts w:cs="Domine"/>
                <w:kern w:val="0"/>
                <w:szCs w:val="21"/>
              </w:rPr>
            </w:pPr>
            <w:r w:rsidRPr="00266D05">
              <w:rPr>
                <w:rFonts w:cs="Domine"/>
                <w:kern w:val="0"/>
                <w:szCs w:val="21"/>
              </w:rPr>
              <w:t>Proportion</w:t>
            </w:r>
          </w:p>
        </w:tc>
        <w:tc>
          <w:tcPr>
            <w:tcW w:w="1984" w:type="dxa"/>
          </w:tcPr>
          <w:p w14:paraId="799189BC" w14:textId="77777777" w:rsidR="007C5C17" w:rsidRPr="00266D05" w:rsidRDefault="007C5C17" w:rsidP="00C90A5B">
            <w:pPr>
              <w:jc w:val="center"/>
              <w:rPr>
                <w:rFonts w:cs="Domine"/>
                <w:kern w:val="0"/>
                <w:szCs w:val="21"/>
              </w:rPr>
            </w:pPr>
            <w:r w:rsidRPr="00266D05">
              <w:rPr>
                <w:rFonts w:cs="Domine"/>
                <w:kern w:val="0"/>
                <w:szCs w:val="21"/>
              </w:rPr>
              <w:t>F(1,224) = 2.1</w:t>
            </w:r>
            <w:r>
              <w:rPr>
                <w:rFonts w:cs="Domine"/>
                <w:kern w:val="0"/>
                <w:szCs w:val="21"/>
              </w:rPr>
              <w:t>3</w:t>
            </w:r>
            <w:r w:rsidRPr="00266D05">
              <w:rPr>
                <w:rFonts w:cs="Domine"/>
                <w:kern w:val="0"/>
                <w:szCs w:val="21"/>
              </w:rPr>
              <w:t>,</w:t>
            </w:r>
          </w:p>
          <w:p w14:paraId="5F5DF997" w14:textId="77777777" w:rsidR="007C5C17" w:rsidRPr="00266D05" w:rsidRDefault="007C5C17" w:rsidP="00C90A5B">
            <w:pPr>
              <w:jc w:val="center"/>
              <w:rPr>
                <w:rFonts w:cs="Domine"/>
                <w:kern w:val="0"/>
                <w:szCs w:val="21"/>
              </w:rPr>
            </w:pPr>
            <w:r w:rsidRPr="00266D05">
              <w:rPr>
                <w:rFonts w:cs="Domine"/>
                <w:kern w:val="0"/>
                <w:szCs w:val="21"/>
              </w:rPr>
              <w:t xml:space="preserve">p = 0.15 </w:t>
            </w:r>
          </w:p>
        </w:tc>
        <w:tc>
          <w:tcPr>
            <w:tcW w:w="1985" w:type="dxa"/>
          </w:tcPr>
          <w:p w14:paraId="333CFF48" w14:textId="77777777" w:rsidR="007C5C17" w:rsidRPr="00266D05" w:rsidRDefault="007C5C17" w:rsidP="00C90A5B">
            <w:pPr>
              <w:jc w:val="center"/>
              <w:rPr>
                <w:rFonts w:cs="Domine"/>
                <w:kern w:val="0"/>
                <w:szCs w:val="21"/>
              </w:rPr>
            </w:pPr>
            <w:r w:rsidRPr="00266D05">
              <w:rPr>
                <w:rFonts w:cs="Domine"/>
                <w:kern w:val="0"/>
                <w:szCs w:val="21"/>
              </w:rPr>
              <w:t>F(1,224) = 2.6</w:t>
            </w:r>
            <w:r>
              <w:rPr>
                <w:rFonts w:cs="Domine"/>
                <w:kern w:val="0"/>
                <w:szCs w:val="21"/>
              </w:rPr>
              <w:t>7</w:t>
            </w:r>
            <w:r w:rsidRPr="00266D05">
              <w:rPr>
                <w:rFonts w:cs="Domine"/>
                <w:kern w:val="0"/>
                <w:szCs w:val="21"/>
              </w:rPr>
              <w:t>,</w:t>
            </w:r>
          </w:p>
          <w:p w14:paraId="461A3670" w14:textId="77777777" w:rsidR="007C5C17" w:rsidRPr="00266D05" w:rsidRDefault="007C5C17" w:rsidP="00C90A5B">
            <w:pPr>
              <w:jc w:val="center"/>
              <w:rPr>
                <w:rFonts w:cs="Domine"/>
                <w:kern w:val="0"/>
                <w:szCs w:val="21"/>
              </w:rPr>
            </w:pPr>
            <w:r w:rsidRPr="00266D05">
              <w:rPr>
                <w:rFonts w:cs="Domine"/>
                <w:kern w:val="0"/>
                <w:szCs w:val="21"/>
              </w:rPr>
              <w:t>p = 0.1</w:t>
            </w:r>
            <w:r>
              <w:rPr>
                <w:rFonts w:cs="Domine"/>
                <w:kern w:val="0"/>
                <w:szCs w:val="21"/>
              </w:rPr>
              <w:t>1</w:t>
            </w:r>
          </w:p>
        </w:tc>
        <w:tc>
          <w:tcPr>
            <w:tcW w:w="2126" w:type="dxa"/>
          </w:tcPr>
          <w:p w14:paraId="76A732E3" w14:textId="77777777" w:rsidR="007C5C17" w:rsidRPr="00266D05" w:rsidRDefault="007C5C17" w:rsidP="00C90A5B">
            <w:pPr>
              <w:jc w:val="center"/>
              <w:rPr>
                <w:rFonts w:cs="Domine"/>
                <w:kern w:val="0"/>
                <w:szCs w:val="21"/>
              </w:rPr>
            </w:pPr>
            <w:r w:rsidRPr="00266D05">
              <w:rPr>
                <w:rFonts w:cs="Domine"/>
                <w:kern w:val="0"/>
                <w:szCs w:val="21"/>
              </w:rPr>
              <w:t>F(1,224) = 0.03,</w:t>
            </w:r>
          </w:p>
          <w:p w14:paraId="07582442" w14:textId="77777777" w:rsidR="007C5C17" w:rsidRPr="00266D05" w:rsidRDefault="007C5C17" w:rsidP="00C90A5B">
            <w:pPr>
              <w:jc w:val="center"/>
              <w:rPr>
                <w:rFonts w:cs="Domine"/>
                <w:kern w:val="0"/>
                <w:szCs w:val="21"/>
              </w:rPr>
            </w:pPr>
            <w:r w:rsidRPr="00266D05">
              <w:rPr>
                <w:rFonts w:cs="Domine"/>
                <w:kern w:val="0"/>
                <w:szCs w:val="21"/>
              </w:rPr>
              <w:t>p = 0.8</w:t>
            </w:r>
            <w:r>
              <w:rPr>
                <w:rFonts w:cs="Domine"/>
                <w:kern w:val="0"/>
                <w:szCs w:val="21"/>
              </w:rPr>
              <w:t>6</w:t>
            </w:r>
          </w:p>
        </w:tc>
      </w:tr>
      <w:tr w:rsidR="007C5C17" w:rsidRPr="00266D05" w14:paraId="38D62C46" w14:textId="77777777" w:rsidTr="00C90A5B">
        <w:tc>
          <w:tcPr>
            <w:tcW w:w="1298" w:type="dxa"/>
          </w:tcPr>
          <w:p w14:paraId="7CDEF154" w14:textId="77777777" w:rsidR="007C5C17" w:rsidRPr="00266D05" w:rsidRDefault="007C5C17" w:rsidP="00C90A5B">
            <w:pPr>
              <w:jc w:val="center"/>
              <w:rPr>
                <w:rFonts w:cs="Domine"/>
                <w:kern w:val="0"/>
                <w:szCs w:val="21"/>
              </w:rPr>
            </w:pPr>
            <w:r w:rsidRPr="00266D05">
              <w:rPr>
                <w:rFonts w:cs="Domine"/>
                <w:b/>
                <w:kern w:val="0"/>
                <w:szCs w:val="21"/>
              </w:rPr>
              <w:t>RAT</w:t>
            </w:r>
          </w:p>
        </w:tc>
        <w:tc>
          <w:tcPr>
            <w:tcW w:w="1364" w:type="dxa"/>
          </w:tcPr>
          <w:p w14:paraId="0FDD30C2" w14:textId="77777777" w:rsidR="007C5C17" w:rsidRPr="00266D05" w:rsidRDefault="007C5C17" w:rsidP="00C90A5B">
            <w:pPr>
              <w:jc w:val="center"/>
              <w:rPr>
                <w:rFonts w:cs="Domine"/>
                <w:kern w:val="0"/>
                <w:szCs w:val="21"/>
              </w:rPr>
            </w:pPr>
            <w:r w:rsidRPr="00266D05">
              <w:rPr>
                <w:rFonts w:cs="Domine"/>
                <w:kern w:val="0"/>
                <w:szCs w:val="21"/>
              </w:rPr>
              <w:t>Number</w:t>
            </w:r>
          </w:p>
        </w:tc>
        <w:tc>
          <w:tcPr>
            <w:tcW w:w="1984" w:type="dxa"/>
          </w:tcPr>
          <w:p w14:paraId="33A44517" w14:textId="77777777" w:rsidR="007C5C17" w:rsidRPr="00266D05" w:rsidRDefault="007C5C17" w:rsidP="00C90A5B">
            <w:pPr>
              <w:jc w:val="center"/>
              <w:rPr>
                <w:rFonts w:cs="Domine"/>
                <w:kern w:val="0"/>
                <w:szCs w:val="21"/>
              </w:rPr>
            </w:pPr>
            <w:r w:rsidRPr="00266D05">
              <w:rPr>
                <w:rFonts w:cs="Domine"/>
                <w:kern w:val="0"/>
                <w:szCs w:val="21"/>
              </w:rPr>
              <w:t>F(1,248) = 0.5</w:t>
            </w:r>
            <w:r>
              <w:rPr>
                <w:rFonts w:cs="Domine"/>
                <w:kern w:val="0"/>
                <w:szCs w:val="21"/>
              </w:rPr>
              <w:t>2</w:t>
            </w:r>
            <w:r w:rsidRPr="00266D05">
              <w:rPr>
                <w:rFonts w:cs="Domine"/>
                <w:kern w:val="0"/>
                <w:szCs w:val="21"/>
              </w:rPr>
              <w:t>,</w:t>
            </w:r>
          </w:p>
          <w:p w14:paraId="3FFB4930" w14:textId="77777777" w:rsidR="007C5C17" w:rsidRPr="00266D05" w:rsidRDefault="007C5C17" w:rsidP="00C90A5B">
            <w:pPr>
              <w:jc w:val="center"/>
              <w:rPr>
                <w:rFonts w:cs="Domine"/>
                <w:kern w:val="0"/>
                <w:szCs w:val="21"/>
              </w:rPr>
            </w:pPr>
            <w:r w:rsidRPr="00266D05">
              <w:rPr>
                <w:rFonts w:cs="Domine"/>
                <w:kern w:val="0"/>
                <w:szCs w:val="21"/>
              </w:rPr>
              <w:t>p = 0.4</w:t>
            </w:r>
            <w:r>
              <w:rPr>
                <w:rFonts w:cs="Domine"/>
                <w:kern w:val="0"/>
                <w:szCs w:val="21"/>
              </w:rPr>
              <w:t>8</w:t>
            </w:r>
          </w:p>
        </w:tc>
        <w:tc>
          <w:tcPr>
            <w:tcW w:w="1985" w:type="dxa"/>
          </w:tcPr>
          <w:p w14:paraId="26339B5E" w14:textId="77777777" w:rsidR="007C5C17" w:rsidRPr="00266D05" w:rsidRDefault="007C5C17" w:rsidP="00C90A5B">
            <w:pPr>
              <w:jc w:val="center"/>
              <w:rPr>
                <w:rFonts w:cs="Domine"/>
                <w:kern w:val="0"/>
                <w:szCs w:val="21"/>
              </w:rPr>
            </w:pPr>
            <w:r w:rsidRPr="00266D05">
              <w:rPr>
                <w:rFonts w:cs="Domine"/>
                <w:kern w:val="0"/>
                <w:szCs w:val="21"/>
              </w:rPr>
              <w:t>F(1,248) = 0.9</w:t>
            </w:r>
            <w:r>
              <w:rPr>
                <w:rFonts w:cs="Domine"/>
                <w:kern w:val="0"/>
                <w:szCs w:val="21"/>
              </w:rPr>
              <w:t>7</w:t>
            </w:r>
            <w:r w:rsidRPr="00266D05">
              <w:rPr>
                <w:rFonts w:cs="Domine"/>
                <w:kern w:val="0"/>
                <w:szCs w:val="21"/>
              </w:rPr>
              <w:t>,</w:t>
            </w:r>
          </w:p>
          <w:p w14:paraId="24DC3254" w14:textId="77777777" w:rsidR="007C5C17" w:rsidRPr="00266D05" w:rsidRDefault="007C5C17" w:rsidP="00C90A5B">
            <w:pPr>
              <w:jc w:val="center"/>
              <w:rPr>
                <w:rFonts w:cs="Domine"/>
                <w:kern w:val="0"/>
                <w:szCs w:val="21"/>
              </w:rPr>
            </w:pPr>
            <w:r w:rsidRPr="00266D05">
              <w:rPr>
                <w:rFonts w:cs="Domine"/>
                <w:kern w:val="0"/>
                <w:szCs w:val="21"/>
              </w:rPr>
              <w:t>p = 0.3</w:t>
            </w:r>
            <w:r>
              <w:rPr>
                <w:rFonts w:cs="Domine"/>
                <w:kern w:val="0"/>
                <w:szCs w:val="21"/>
              </w:rPr>
              <w:t>3</w:t>
            </w:r>
          </w:p>
        </w:tc>
        <w:tc>
          <w:tcPr>
            <w:tcW w:w="2126" w:type="dxa"/>
          </w:tcPr>
          <w:p w14:paraId="2E837771" w14:textId="77777777" w:rsidR="007C5C17" w:rsidRPr="00266D05" w:rsidRDefault="007C5C17" w:rsidP="00C90A5B">
            <w:pPr>
              <w:jc w:val="center"/>
              <w:rPr>
                <w:rFonts w:cs="Domine"/>
                <w:kern w:val="0"/>
                <w:szCs w:val="21"/>
              </w:rPr>
            </w:pPr>
            <w:r w:rsidRPr="00266D05">
              <w:rPr>
                <w:rFonts w:cs="Domine"/>
                <w:kern w:val="0"/>
                <w:szCs w:val="21"/>
              </w:rPr>
              <w:t>F(1,248) = 0.3</w:t>
            </w:r>
            <w:r>
              <w:rPr>
                <w:rFonts w:cs="Domine"/>
                <w:kern w:val="0"/>
                <w:szCs w:val="21"/>
              </w:rPr>
              <w:t>8</w:t>
            </w:r>
            <w:r w:rsidRPr="00266D05">
              <w:rPr>
                <w:rFonts w:cs="Domine"/>
                <w:kern w:val="0"/>
                <w:szCs w:val="21"/>
              </w:rPr>
              <w:t>,</w:t>
            </w:r>
          </w:p>
          <w:p w14:paraId="0489E300" w14:textId="77777777" w:rsidR="007C5C17" w:rsidRPr="00266D05" w:rsidRDefault="007C5C17" w:rsidP="00C90A5B">
            <w:pPr>
              <w:jc w:val="center"/>
              <w:rPr>
                <w:rFonts w:cs="Domine"/>
                <w:kern w:val="0"/>
                <w:szCs w:val="21"/>
              </w:rPr>
            </w:pPr>
            <w:r w:rsidRPr="00266D05">
              <w:rPr>
                <w:rFonts w:cs="Domine"/>
                <w:kern w:val="0"/>
                <w:szCs w:val="21"/>
              </w:rPr>
              <w:t>p = 0.54</w:t>
            </w:r>
          </w:p>
        </w:tc>
      </w:tr>
      <w:tr w:rsidR="007C5C17" w:rsidRPr="00266D05" w14:paraId="4D42ADBB" w14:textId="77777777" w:rsidTr="00C90A5B">
        <w:tc>
          <w:tcPr>
            <w:tcW w:w="1298" w:type="dxa"/>
          </w:tcPr>
          <w:p w14:paraId="0B6D58E4" w14:textId="77777777" w:rsidR="007C5C17" w:rsidRPr="00266D05" w:rsidRDefault="007C5C17" w:rsidP="00C90A5B">
            <w:pPr>
              <w:jc w:val="center"/>
              <w:rPr>
                <w:rFonts w:cs="Domine"/>
                <w:kern w:val="0"/>
                <w:szCs w:val="21"/>
              </w:rPr>
            </w:pPr>
            <w:r w:rsidRPr="00266D05">
              <w:rPr>
                <w:rFonts w:cs="Domine"/>
                <w:b/>
                <w:kern w:val="0"/>
                <w:szCs w:val="21"/>
              </w:rPr>
              <w:t>RAT</w:t>
            </w:r>
          </w:p>
        </w:tc>
        <w:tc>
          <w:tcPr>
            <w:tcW w:w="1364" w:type="dxa"/>
          </w:tcPr>
          <w:p w14:paraId="7CF7E609" w14:textId="77777777" w:rsidR="007C5C17" w:rsidRPr="00266D05" w:rsidRDefault="007C5C17" w:rsidP="00C90A5B">
            <w:pPr>
              <w:jc w:val="center"/>
              <w:rPr>
                <w:rFonts w:cs="Domine"/>
                <w:kern w:val="0"/>
                <w:szCs w:val="21"/>
              </w:rPr>
            </w:pPr>
            <w:r w:rsidRPr="00266D05">
              <w:rPr>
                <w:rFonts w:cs="Domine"/>
                <w:kern w:val="0"/>
                <w:szCs w:val="21"/>
              </w:rPr>
              <w:t>Proportion</w:t>
            </w:r>
          </w:p>
        </w:tc>
        <w:tc>
          <w:tcPr>
            <w:tcW w:w="1984" w:type="dxa"/>
          </w:tcPr>
          <w:p w14:paraId="4D40E4D9" w14:textId="77777777" w:rsidR="007C5C17" w:rsidRPr="00266D05" w:rsidRDefault="007C5C17" w:rsidP="00C90A5B">
            <w:pPr>
              <w:jc w:val="center"/>
              <w:rPr>
                <w:rFonts w:cs="Domine"/>
                <w:kern w:val="0"/>
                <w:szCs w:val="21"/>
              </w:rPr>
            </w:pPr>
            <w:r w:rsidRPr="00266D05">
              <w:rPr>
                <w:rFonts w:cs="Domine"/>
                <w:kern w:val="0"/>
                <w:szCs w:val="21"/>
              </w:rPr>
              <w:t>F(1,248) = 0.6</w:t>
            </w:r>
            <w:r>
              <w:rPr>
                <w:rFonts w:cs="Domine"/>
                <w:kern w:val="0"/>
                <w:szCs w:val="21"/>
              </w:rPr>
              <w:t>8</w:t>
            </w:r>
            <w:r w:rsidRPr="00266D05">
              <w:rPr>
                <w:rFonts w:cs="Domine"/>
                <w:kern w:val="0"/>
                <w:szCs w:val="21"/>
              </w:rPr>
              <w:t>,</w:t>
            </w:r>
          </w:p>
          <w:p w14:paraId="4D984328" w14:textId="77777777" w:rsidR="007C5C17" w:rsidRPr="00266D05" w:rsidRDefault="007C5C17" w:rsidP="00C90A5B">
            <w:pPr>
              <w:jc w:val="center"/>
              <w:rPr>
                <w:rFonts w:cs="Domine"/>
                <w:kern w:val="0"/>
                <w:szCs w:val="21"/>
              </w:rPr>
            </w:pPr>
            <w:r w:rsidRPr="00266D05">
              <w:rPr>
                <w:rFonts w:cs="Domine"/>
                <w:kern w:val="0"/>
                <w:szCs w:val="21"/>
              </w:rPr>
              <w:t>p = 0.41</w:t>
            </w:r>
          </w:p>
        </w:tc>
        <w:tc>
          <w:tcPr>
            <w:tcW w:w="1985" w:type="dxa"/>
          </w:tcPr>
          <w:p w14:paraId="655525B4" w14:textId="77777777" w:rsidR="007C5C17" w:rsidRPr="00266D05" w:rsidRDefault="007C5C17" w:rsidP="00C90A5B">
            <w:pPr>
              <w:jc w:val="center"/>
              <w:rPr>
                <w:rFonts w:cs="Domine"/>
                <w:kern w:val="0"/>
                <w:szCs w:val="21"/>
              </w:rPr>
            </w:pPr>
            <w:r w:rsidRPr="00266D05">
              <w:rPr>
                <w:rFonts w:cs="Domine"/>
                <w:kern w:val="0"/>
                <w:szCs w:val="21"/>
              </w:rPr>
              <w:t>F(1,248) = 0.38,</w:t>
            </w:r>
          </w:p>
          <w:p w14:paraId="0E9451DF" w14:textId="77777777" w:rsidR="007C5C17" w:rsidRPr="00266D05" w:rsidRDefault="007C5C17" w:rsidP="00C90A5B">
            <w:pPr>
              <w:jc w:val="center"/>
              <w:rPr>
                <w:rFonts w:cs="Domine"/>
                <w:kern w:val="0"/>
                <w:szCs w:val="21"/>
              </w:rPr>
            </w:pPr>
            <w:r w:rsidRPr="00266D05">
              <w:rPr>
                <w:rFonts w:cs="Domine"/>
                <w:kern w:val="0"/>
                <w:szCs w:val="21"/>
              </w:rPr>
              <w:t>p = 0.54</w:t>
            </w:r>
          </w:p>
        </w:tc>
        <w:tc>
          <w:tcPr>
            <w:tcW w:w="2126" w:type="dxa"/>
          </w:tcPr>
          <w:p w14:paraId="6B158591" w14:textId="77777777" w:rsidR="007C5C17" w:rsidRPr="00266D05" w:rsidRDefault="007C5C17" w:rsidP="00C90A5B">
            <w:pPr>
              <w:jc w:val="center"/>
              <w:rPr>
                <w:rFonts w:cs="Domine"/>
                <w:kern w:val="0"/>
                <w:szCs w:val="21"/>
              </w:rPr>
            </w:pPr>
            <w:r w:rsidRPr="00266D05">
              <w:rPr>
                <w:rFonts w:cs="Domine"/>
                <w:kern w:val="0"/>
                <w:szCs w:val="21"/>
              </w:rPr>
              <w:t>F(1,248) = 0.2</w:t>
            </w:r>
            <w:r>
              <w:rPr>
                <w:rFonts w:cs="Domine"/>
                <w:kern w:val="0"/>
                <w:szCs w:val="21"/>
              </w:rPr>
              <w:t>4</w:t>
            </w:r>
            <w:r w:rsidRPr="00266D05">
              <w:rPr>
                <w:rFonts w:cs="Domine"/>
                <w:kern w:val="0"/>
                <w:szCs w:val="21"/>
              </w:rPr>
              <w:t>,</w:t>
            </w:r>
          </w:p>
          <w:p w14:paraId="33B1F64D" w14:textId="77777777" w:rsidR="007C5C17" w:rsidRPr="00266D05" w:rsidRDefault="007C5C17" w:rsidP="00C90A5B">
            <w:pPr>
              <w:jc w:val="center"/>
              <w:rPr>
                <w:rFonts w:cs="Domine"/>
                <w:kern w:val="0"/>
                <w:szCs w:val="21"/>
              </w:rPr>
            </w:pPr>
            <w:r w:rsidRPr="00266D05">
              <w:rPr>
                <w:rFonts w:cs="Domine"/>
                <w:kern w:val="0"/>
                <w:szCs w:val="21"/>
              </w:rPr>
              <w:t>p = 0.6</w:t>
            </w:r>
            <w:r>
              <w:rPr>
                <w:rFonts w:cs="Domine"/>
                <w:kern w:val="0"/>
                <w:szCs w:val="21"/>
              </w:rPr>
              <w:t>3</w:t>
            </w:r>
          </w:p>
        </w:tc>
      </w:tr>
      <w:tr w:rsidR="007C5C17" w:rsidRPr="00266D05" w14:paraId="386B62DE" w14:textId="77777777" w:rsidTr="00C90A5B">
        <w:tc>
          <w:tcPr>
            <w:tcW w:w="1298" w:type="dxa"/>
          </w:tcPr>
          <w:p w14:paraId="120FBCE6" w14:textId="77777777" w:rsidR="007C5C17" w:rsidRPr="00266D05" w:rsidRDefault="007C5C17" w:rsidP="00C90A5B">
            <w:pPr>
              <w:jc w:val="center"/>
              <w:rPr>
                <w:rFonts w:cs="Domine"/>
                <w:kern w:val="0"/>
                <w:szCs w:val="21"/>
              </w:rPr>
            </w:pPr>
            <w:r w:rsidRPr="00266D05">
              <w:rPr>
                <w:rFonts w:cs="Domine"/>
                <w:b/>
                <w:kern w:val="0"/>
                <w:szCs w:val="21"/>
              </w:rPr>
              <w:t>Addition</w:t>
            </w:r>
          </w:p>
        </w:tc>
        <w:tc>
          <w:tcPr>
            <w:tcW w:w="1364" w:type="dxa"/>
          </w:tcPr>
          <w:p w14:paraId="00CE6E7E" w14:textId="77777777" w:rsidR="007C5C17" w:rsidRPr="00266D05" w:rsidRDefault="007C5C17" w:rsidP="00C90A5B">
            <w:pPr>
              <w:jc w:val="center"/>
              <w:rPr>
                <w:rFonts w:cs="Domine"/>
                <w:kern w:val="0"/>
                <w:szCs w:val="21"/>
              </w:rPr>
            </w:pPr>
            <w:r w:rsidRPr="00266D05">
              <w:rPr>
                <w:rFonts w:cs="Domine"/>
                <w:kern w:val="0"/>
                <w:szCs w:val="21"/>
              </w:rPr>
              <w:t>Number</w:t>
            </w:r>
          </w:p>
        </w:tc>
        <w:tc>
          <w:tcPr>
            <w:tcW w:w="1984" w:type="dxa"/>
          </w:tcPr>
          <w:p w14:paraId="0A718E53" w14:textId="77777777" w:rsidR="007C5C17" w:rsidRPr="00266D05" w:rsidRDefault="007C5C17" w:rsidP="00C90A5B">
            <w:pPr>
              <w:jc w:val="center"/>
              <w:rPr>
                <w:rFonts w:cs="Domine"/>
                <w:kern w:val="0"/>
                <w:szCs w:val="21"/>
              </w:rPr>
            </w:pPr>
            <w:r w:rsidRPr="00266D05">
              <w:rPr>
                <w:rFonts w:cs="Domine"/>
                <w:kern w:val="0"/>
                <w:szCs w:val="21"/>
              </w:rPr>
              <w:t>F(1,248) = 0.2</w:t>
            </w:r>
            <w:r>
              <w:rPr>
                <w:rFonts w:cs="Domine"/>
                <w:kern w:val="0"/>
                <w:szCs w:val="21"/>
              </w:rPr>
              <w:t>3</w:t>
            </w:r>
            <w:r w:rsidRPr="00266D05">
              <w:rPr>
                <w:rFonts w:cs="Domine"/>
                <w:kern w:val="0"/>
                <w:szCs w:val="21"/>
              </w:rPr>
              <w:t xml:space="preserve"> ,</w:t>
            </w:r>
          </w:p>
          <w:p w14:paraId="416DC29F" w14:textId="77777777" w:rsidR="007C5C17" w:rsidRPr="00266D05" w:rsidRDefault="007C5C17" w:rsidP="00C90A5B">
            <w:pPr>
              <w:jc w:val="center"/>
              <w:rPr>
                <w:rFonts w:cs="Domine"/>
                <w:kern w:val="0"/>
                <w:szCs w:val="21"/>
              </w:rPr>
            </w:pPr>
            <w:r w:rsidRPr="00266D05">
              <w:rPr>
                <w:rFonts w:cs="Domine"/>
                <w:kern w:val="0"/>
                <w:szCs w:val="21"/>
              </w:rPr>
              <w:t>p = 0.6</w:t>
            </w:r>
            <w:r>
              <w:rPr>
                <w:rFonts w:cs="Domine"/>
                <w:kern w:val="0"/>
                <w:szCs w:val="21"/>
              </w:rPr>
              <w:t>4</w:t>
            </w:r>
          </w:p>
        </w:tc>
        <w:tc>
          <w:tcPr>
            <w:tcW w:w="1985" w:type="dxa"/>
          </w:tcPr>
          <w:p w14:paraId="2AD02325" w14:textId="77777777" w:rsidR="007C5C17" w:rsidRPr="00266D05" w:rsidRDefault="007C5C17" w:rsidP="00C90A5B">
            <w:pPr>
              <w:jc w:val="center"/>
              <w:rPr>
                <w:rFonts w:cs="Domine"/>
                <w:kern w:val="0"/>
                <w:szCs w:val="21"/>
              </w:rPr>
            </w:pPr>
            <w:r w:rsidRPr="00266D05">
              <w:rPr>
                <w:rFonts w:cs="Domine"/>
                <w:kern w:val="0"/>
                <w:szCs w:val="21"/>
              </w:rPr>
              <w:t>F(1,248) = 0.45,</w:t>
            </w:r>
          </w:p>
          <w:p w14:paraId="0DE10847" w14:textId="77777777" w:rsidR="007C5C17" w:rsidRPr="00266D05" w:rsidRDefault="007C5C17" w:rsidP="00C90A5B">
            <w:pPr>
              <w:jc w:val="center"/>
              <w:rPr>
                <w:rFonts w:cs="Domine"/>
                <w:kern w:val="0"/>
                <w:szCs w:val="21"/>
              </w:rPr>
            </w:pPr>
            <w:r w:rsidRPr="00266D05">
              <w:rPr>
                <w:rFonts w:cs="Domine"/>
                <w:kern w:val="0"/>
                <w:szCs w:val="21"/>
              </w:rPr>
              <w:t>p = 0.50</w:t>
            </w:r>
          </w:p>
        </w:tc>
        <w:tc>
          <w:tcPr>
            <w:tcW w:w="2126" w:type="dxa"/>
          </w:tcPr>
          <w:p w14:paraId="0D074A5D" w14:textId="77777777" w:rsidR="007C5C17" w:rsidRPr="00266D05" w:rsidRDefault="007C5C17" w:rsidP="00C90A5B">
            <w:pPr>
              <w:jc w:val="center"/>
              <w:rPr>
                <w:rFonts w:cs="Domine"/>
                <w:kern w:val="0"/>
                <w:szCs w:val="21"/>
              </w:rPr>
            </w:pPr>
            <w:r w:rsidRPr="00266D05">
              <w:rPr>
                <w:rFonts w:cs="Domine"/>
                <w:kern w:val="0"/>
                <w:szCs w:val="21"/>
              </w:rPr>
              <w:t>F(1,248) = 1.8</w:t>
            </w:r>
            <w:r>
              <w:rPr>
                <w:rFonts w:cs="Domine"/>
                <w:kern w:val="0"/>
                <w:szCs w:val="21"/>
              </w:rPr>
              <w:t>7</w:t>
            </w:r>
            <w:r w:rsidRPr="00266D05">
              <w:rPr>
                <w:rFonts w:cs="Domine"/>
                <w:kern w:val="0"/>
                <w:szCs w:val="21"/>
              </w:rPr>
              <w:t>,</w:t>
            </w:r>
          </w:p>
          <w:p w14:paraId="6BBC7898" w14:textId="77777777" w:rsidR="007C5C17" w:rsidRPr="00266D05" w:rsidRDefault="007C5C17" w:rsidP="00C90A5B">
            <w:pPr>
              <w:jc w:val="center"/>
              <w:rPr>
                <w:rFonts w:cs="Domine"/>
                <w:kern w:val="0"/>
                <w:szCs w:val="21"/>
              </w:rPr>
            </w:pPr>
            <w:r w:rsidRPr="00266D05">
              <w:rPr>
                <w:rFonts w:cs="Domine"/>
                <w:kern w:val="0"/>
                <w:szCs w:val="21"/>
              </w:rPr>
              <w:t>p = 0.1</w:t>
            </w:r>
            <w:r>
              <w:rPr>
                <w:rFonts w:cs="Domine"/>
                <w:kern w:val="0"/>
                <w:szCs w:val="21"/>
              </w:rPr>
              <w:t>8</w:t>
            </w:r>
          </w:p>
        </w:tc>
      </w:tr>
      <w:tr w:rsidR="007C5C17" w:rsidRPr="00266D05" w14:paraId="3BB68FF3" w14:textId="77777777" w:rsidTr="00C90A5B">
        <w:tc>
          <w:tcPr>
            <w:tcW w:w="1298" w:type="dxa"/>
          </w:tcPr>
          <w:p w14:paraId="0ABCBE09" w14:textId="77777777" w:rsidR="007C5C17" w:rsidRPr="00266D05" w:rsidRDefault="007C5C17" w:rsidP="00C90A5B">
            <w:pPr>
              <w:jc w:val="center"/>
              <w:rPr>
                <w:rFonts w:cs="Domine"/>
                <w:kern w:val="0"/>
                <w:szCs w:val="21"/>
              </w:rPr>
            </w:pPr>
            <w:r w:rsidRPr="00266D05">
              <w:rPr>
                <w:rFonts w:cs="Domine"/>
                <w:b/>
                <w:kern w:val="0"/>
                <w:szCs w:val="21"/>
              </w:rPr>
              <w:t>Addition</w:t>
            </w:r>
          </w:p>
        </w:tc>
        <w:tc>
          <w:tcPr>
            <w:tcW w:w="1364" w:type="dxa"/>
          </w:tcPr>
          <w:p w14:paraId="05D31B84" w14:textId="77777777" w:rsidR="007C5C17" w:rsidRPr="00266D05" w:rsidRDefault="007C5C17" w:rsidP="00C90A5B">
            <w:pPr>
              <w:jc w:val="center"/>
              <w:rPr>
                <w:rFonts w:cs="Domine"/>
                <w:kern w:val="0"/>
                <w:szCs w:val="21"/>
              </w:rPr>
            </w:pPr>
            <w:r w:rsidRPr="00266D05">
              <w:rPr>
                <w:rFonts w:cs="Domine"/>
                <w:kern w:val="0"/>
                <w:szCs w:val="21"/>
              </w:rPr>
              <w:t>Proportion</w:t>
            </w:r>
          </w:p>
        </w:tc>
        <w:tc>
          <w:tcPr>
            <w:tcW w:w="1984" w:type="dxa"/>
          </w:tcPr>
          <w:p w14:paraId="0ED34BEE" w14:textId="77777777" w:rsidR="007C5C17" w:rsidRPr="00266D05" w:rsidRDefault="007C5C17" w:rsidP="00C90A5B">
            <w:pPr>
              <w:jc w:val="center"/>
              <w:rPr>
                <w:rFonts w:cs="Domine"/>
                <w:kern w:val="0"/>
                <w:szCs w:val="21"/>
              </w:rPr>
            </w:pPr>
            <w:r w:rsidRPr="00266D05">
              <w:rPr>
                <w:rFonts w:cs="Domine"/>
                <w:kern w:val="0"/>
                <w:szCs w:val="21"/>
              </w:rPr>
              <w:t>F(1,248) = 0.0</w:t>
            </w:r>
            <w:r>
              <w:rPr>
                <w:rFonts w:cs="Domine"/>
                <w:kern w:val="0"/>
                <w:szCs w:val="21"/>
              </w:rPr>
              <w:t>2</w:t>
            </w:r>
            <w:r w:rsidRPr="00266D05">
              <w:rPr>
                <w:rFonts w:cs="Domine"/>
                <w:kern w:val="0"/>
                <w:szCs w:val="21"/>
              </w:rPr>
              <w:t>,</w:t>
            </w:r>
          </w:p>
          <w:p w14:paraId="5B14AD0C" w14:textId="77777777" w:rsidR="007C5C17" w:rsidRPr="00266D05" w:rsidRDefault="007C5C17" w:rsidP="00C90A5B">
            <w:pPr>
              <w:ind w:firstLine="105"/>
              <w:jc w:val="center"/>
              <w:rPr>
                <w:rFonts w:cs="Domine"/>
                <w:kern w:val="0"/>
                <w:szCs w:val="21"/>
              </w:rPr>
            </w:pPr>
            <w:r>
              <w:rPr>
                <w:rFonts w:cs="Domine"/>
                <w:kern w:val="0"/>
                <w:szCs w:val="21"/>
              </w:rPr>
              <w:t>p = 0.89</w:t>
            </w:r>
          </w:p>
        </w:tc>
        <w:tc>
          <w:tcPr>
            <w:tcW w:w="1985" w:type="dxa"/>
          </w:tcPr>
          <w:p w14:paraId="433F790E" w14:textId="77777777" w:rsidR="007C5C17" w:rsidRPr="00266D05" w:rsidRDefault="007C5C17" w:rsidP="00C90A5B">
            <w:pPr>
              <w:jc w:val="center"/>
              <w:rPr>
                <w:rFonts w:cs="Domine"/>
                <w:kern w:val="0"/>
                <w:szCs w:val="21"/>
              </w:rPr>
            </w:pPr>
            <w:r w:rsidRPr="00266D05">
              <w:rPr>
                <w:rFonts w:cs="Domine"/>
                <w:kern w:val="0"/>
                <w:szCs w:val="21"/>
              </w:rPr>
              <w:t>F(1,248) = 0.0</w:t>
            </w:r>
            <w:r>
              <w:rPr>
                <w:rFonts w:cs="Domine"/>
                <w:kern w:val="0"/>
                <w:szCs w:val="21"/>
              </w:rPr>
              <w:t>1</w:t>
            </w:r>
            <w:r w:rsidRPr="00266D05">
              <w:rPr>
                <w:rFonts w:cs="Domine"/>
                <w:kern w:val="0"/>
                <w:szCs w:val="21"/>
              </w:rPr>
              <w:t>,</w:t>
            </w:r>
          </w:p>
          <w:p w14:paraId="7513E3CD" w14:textId="77777777" w:rsidR="007C5C17" w:rsidRPr="00266D05" w:rsidRDefault="007C5C17" w:rsidP="00C90A5B">
            <w:pPr>
              <w:jc w:val="center"/>
              <w:rPr>
                <w:rFonts w:cs="Domine"/>
                <w:kern w:val="0"/>
                <w:szCs w:val="21"/>
              </w:rPr>
            </w:pPr>
            <w:r w:rsidRPr="00266D05">
              <w:rPr>
                <w:rFonts w:cs="Domine"/>
                <w:kern w:val="0"/>
                <w:szCs w:val="21"/>
              </w:rPr>
              <w:t>p = 0.9</w:t>
            </w:r>
            <w:r>
              <w:rPr>
                <w:rFonts w:cs="Domine"/>
                <w:kern w:val="0"/>
                <w:szCs w:val="21"/>
              </w:rPr>
              <w:t>5</w:t>
            </w:r>
          </w:p>
        </w:tc>
        <w:tc>
          <w:tcPr>
            <w:tcW w:w="2126" w:type="dxa"/>
          </w:tcPr>
          <w:p w14:paraId="171727E3" w14:textId="77777777" w:rsidR="007C5C17" w:rsidRPr="00266D05" w:rsidRDefault="007C5C17" w:rsidP="00C90A5B">
            <w:pPr>
              <w:jc w:val="center"/>
              <w:rPr>
                <w:rFonts w:cs="Domine"/>
                <w:kern w:val="0"/>
                <w:szCs w:val="21"/>
              </w:rPr>
            </w:pPr>
            <w:r>
              <w:rPr>
                <w:rFonts w:cs="Domine"/>
                <w:kern w:val="0"/>
                <w:szCs w:val="21"/>
              </w:rPr>
              <w:t>F(1,248) = 1.03</w:t>
            </w:r>
            <w:r w:rsidRPr="00266D05">
              <w:rPr>
                <w:rFonts w:cs="Domine"/>
                <w:kern w:val="0"/>
                <w:szCs w:val="21"/>
              </w:rPr>
              <w:t>,</w:t>
            </w:r>
          </w:p>
          <w:p w14:paraId="6E61DF0B" w14:textId="77777777" w:rsidR="007C5C17" w:rsidRPr="00266D05" w:rsidRDefault="007C5C17" w:rsidP="00C90A5B">
            <w:pPr>
              <w:jc w:val="center"/>
              <w:rPr>
                <w:rFonts w:cs="Domine"/>
                <w:kern w:val="0"/>
                <w:szCs w:val="21"/>
              </w:rPr>
            </w:pPr>
            <w:r>
              <w:rPr>
                <w:rFonts w:cs="Domine"/>
                <w:kern w:val="0"/>
                <w:szCs w:val="21"/>
              </w:rPr>
              <w:t>p = 0.31</w:t>
            </w:r>
          </w:p>
        </w:tc>
      </w:tr>
    </w:tbl>
    <w:p w14:paraId="65BD26EE" w14:textId="77777777" w:rsidR="007C5C17" w:rsidRPr="00266D05" w:rsidRDefault="007C5C17" w:rsidP="00904023">
      <w:pPr>
        <w:spacing w:line="480" w:lineRule="auto"/>
        <w:rPr>
          <w:rFonts w:cs="Domine"/>
          <w:kern w:val="0"/>
          <w:szCs w:val="21"/>
        </w:rPr>
      </w:pPr>
      <w:r w:rsidRPr="00266D05">
        <w:rPr>
          <w:rFonts w:cs="Domine"/>
          <w:kern w:val="0"/>
          <w:szCs w:val="21"/>
        </w:rPr>
        <w:t>Matchstick = matchstick arithmetic task; RAT = remote associates task; Addition = two-digit addition arithmetic task</w:t>
      </w:r>
    </w:p>
    <w:p w14:paraId="130EA10C" w14:textId="77777777" w:rsidR="007C5C17" w:rsidRPr="004D3130" w:rsidRDefault="007C5C17" w:rsidP="00904023">
      <w:pPr>
        <w:spacing w:line="480" w:lineRule="auto"/>
        <w:rPr>
          <w:rFonts w:cs="Domine"/>
          <w:color w:val="000000"/>
          <w:kern w:val="0"/>
          <w:szCs w:val="21"/>
        </w:rPr>
      </w:pPr>
    </w:p>
    <w:p w14:paraId="33451364" w14:textId="7ACD7447" w:rsidR="007C5C17" w:rsidRPr="004D3130" w:rsidRDefault="00AE7029" w:rsidP="00904023">
      <w:pPr>
        <w:spacing w:line="480" w:lineRule="auto"/>
        <w:ind w:firstLineChars="100" w:firstLine="210"/>
        <w:rPr>
          <w:rFonts w:cs="Domine"/>
          <w:color w:val="000000"/>
          <w:kern w:val="0"/>
          <w:szCs w:val="21"/>
        </w:rPr>
      </w:pPr>
      <w:r w:rsidRPr="00EA697A">
        <w:rPr>
          <w:rFonts w:cs="Domine"/>
          <w:kern w:val="0"/>
          <w:szCs w:val="21"/>
        </w:rPr>
        <w:t>S2 Fig</w:t>
      </w:r>
      <w:r>
        <w:rPr>
          <w:rFonts w:cs="Domine"/>
          <w:color w:val="FF0000"/>
          <w:kern w:val="0"/>
          <w:szCs w:val="21"/>
        </w:rPr>
        <w:t xml:space="preserve"> </w:t>
      </w:r>
      <w:r w:rsidR="007C5C17" w:rsidRPr="004D3130">
        <w:rPr>
          <w:rFonts w:cs="Domine"/>
          <w:color w:val="000000"/>
          <w:kern w:val="0"/>
          <w:szCs w:val="21"/>
        </w:rPr>
        <w:t xml:space="preserve">shows the effect sizes with combined data for each task and performance </w:t>
      </w:r>
      <w:proofErr w:type="gramStart"/>
      <w:r w:rsidR="007C5C17" w:rsidRPr="004D3130">
        <w:rPr>
          <w:rFonts w:cs="Domine"/>
          <w:color w:val="000000"/>
          <w:kern w:val="0"/>
          <w:szCs w:val="21"/>
        </w:rPr>
        <w:t>measure</w:t>
      </w:r>
      <w:proofErr w:type="gramEnd"/>
      <w:r w:rsidR="007C5C17" w:rsidRPr="004D3130">
        <w:rPr>
          <w:rFonts w:cs="Domine"/>
          <w:color w:val="000000"/>
          <w:kern w:val="0"/>
          <w:szCs w:val="21"/>
        </w:rPr>
        <w:t xml:space="preserve">. These results indicate that anodal </w:t>
      </w:r>
      <w:proofErr w:type="spellStart"/>
      <w:r w:rsidR="007C5C17" w:rsidRPr="004D3130">
        <w:rPr>
          <w:rFonts w:cs="Domine"/>
          <w:color w:val="000000"/>
          <w:kern w:val="0"/>
          <w:szCs w:val="21"/>
        </w:rPr>
        <w:t>tDCS</w:t>
      </w:r>
      <w:proofErr w:type="spellEnd"/>
      <w:r w:rsidR="007C5C17" w:rsidRPr="004D3130">
        <w:rPr>
          <w:rFonts w:cs="Domine"/>
          <w:color w:val="000000"/>
          <w:kern w:val="0"/>
          <w:szCs w:val="21"/>
        </w:rPr>
        <w:t xml:space="preserve"> to the right ATL had weak positive and negative effects on non-verbal and verbal insight</w:t>
      </w:r>
      <w:r w:rsidR="007C5C17">
        <w:rPr>
          <w:rFonts w:cs="Domine"/>
          <w:color w:val="000000"/>
          <w:kern w:val="0"/>
          <w:szCs w:val="21"/>
        </w:rPr>
        <w:t xml:space="preserve"> problem solving, respectively,</w:t>
      </w:r>
      <w:r w:rsidR="007C5C17" w:rsidRPr="004D3130">
        <w:rPr>
          <w:rFonts w:cs="Domine"/>
          <w:color w:val="000000"/>
          <w:kern w:val="0"/>
          <w:szCs w:val="21"/>
        </w:rPr>
        <w:t xml:space="preserve"> </w:t>
      </w:r>
      <w:r w:rsidR="007C5C17" w:rsidRPr="00C3235D">
        <w:rPr>
          <w:rFonts w:cs="Domine"/>
          <w:kern w:val="0"/>
          <w:szCs w:val="21"/>
        </w:rPr>
        <w:t xml:space="preserve">but </w:t>
      </w:r>
      <w:r w:rsidR="007C5C17" w:rsidRPr="004D3130">
        <w:rPr>
          <w:rFonts w:cs="Domine"/>
          <w:color w:val="000000"/>
          <w:kern w:val="0"/>
          <w:szCs w:val="21"/>
        </w:rPr>
        <w:t>the effects were not significant</w:t>
      </w:r>
      <w:r w:rsidR="007C5C17" w:rsidRPr="00CD6873">
        <w:rPr>
          <w:rFonts w:cs="Domine"/>
          <w:kern w:val="0"/>
          <w:szCs w:val="21"/>
        </w:rPr>
        <w:t xml:space="preserve"> (a paired samples t-test: p = 0.1459 for both</w:t>
      </w:r>
      <w:r w:rsidR="008D34FE" w:rsidRPr="00CD6873">
        <w:rPr>
          <w:rFonts w:cs="Domine"/>
          <w:kern w:val="0"/>
          <w:szCs w:val="21"/>
        </w:rPr>
        <w:t xml:space="preserve"> the</w:t>
      </w:r>
      <w:r w:rsidR="007C5C17" w:rsidRPr="00CD6873">
        <w:rPr>
          <w:rFonts w:cs="Domine"/>
          <w:kern w:val="0"/>
          <w:szCs w:val="21"/>
        </w:rPr>
        <w:t xml:space="preserve"> number and proportion of correct answers </w:t>
      </w:r>
      <w:r w:rsidR="008D34FE" w:rsidRPr="00CD6873">
        <w:rPr>
          <w:rFonts w:cs="Domine"/>
          <w:kern w:val="0"/>
          <w:szCs w:val="21"/>
        </w:rPr>
        <w:t xml:space="preserve">in </w:t>
      </w:r>
      <w:r w:rsidR="007C5C17" w:rsidRPr="00CD6873">
        <w:rPr>
          <w:rFonts w:cs="Domine"/>
          <w:kern w:val="0"/>
          <w:szCs w:val="21"/>
        </w:rPr>
        <w:t xml:space="preserve">the matchstick arithmetic task; p = 0.4662 and 0.4064 for </w:t>
      </w:r>
      <w:r w:rsidR="008D34FE" w:rsidRPr="00CD6873">
        <w:rPr>
          <w:rFonts w:cs="Domine"/>
          <w:kern w:val="0"/>
          <w:szCs w:val="21"/>
        </w:rPr>
        <w:t xml:space="preserve">the </w:t>
      </w:r>
      <w:r w:rsidR="007C5C17" w:rsidRPr="00CD6873">
        <w:rPr>
          <w:rFonts w:cs="Domine"/>
          <w:kern w:val="0"/>
          <w:szCs w:val="21"/>
        </w:rPr>
        <w:t xml:space="preserve">number and proportion of correct answers </w:t>
      </w:r>
      <w:r w:rsidR="008D34FE" w:rsidRPr="00CD6873">
        <w:rPr>
          <w:rFonts w:cs="Domine"/>
          <w:kern w:val="0"/>
          <w:szCs w:val="21"/>
        </w:rPr>
        <w:t xml:space="preserve">in </w:t>
      </w:r>
      <w:r w:rsidR="007C5C17" w:rsidRPr="00CD6873">
        <w:rPr>
          <w:rFonts w:cs="Domine"/>
          <w:kern w:val="0"/>
          <w:szCs w:val="21"/>
        </w:rPr>
        <w:t xml:space="preserve">the RAT task, respectively; p = 0.6543 and 0.9045 for </w:t>
      </w:r>
      <w:r w:rsidR="008D34FE" w:rsidRPr="00CD6873">
        <w:rPr>
          <w:rFonts w:cs="Domine"/>
          <w:kern w:val="0"/>
          <w:szCs w:val="21"/>
        </w:rPr>
        <w:t xml:space="preserve">the </w:t>
      </w:r>
      <w:r w:rsidR="007C5C17" w:rsidRPr="00CD6873">
        <w:rPr>
          <w:rFonts w:cs="Domine"/>
          <w:kern w:val="0"/>
          <w:szCs w:val="21"/>
        </w:rPr>
        <w:t xml:space="preserve">number and proportion of correct answers </w:t>
      </w:r>
      <w:r w:rsidR="008D34FE" w:rsidRPr="00CD6873">
        <w:rPr>
          <w:rFonts w:cs="Domine"/>
          <w:kern w:val="0"/>
          <w:szCs w:val="21"/>
        </w:rPr>
        <w:t xml:space="preserve">in </w:t>
      </w:r>
      <w:r w:rsidR="007C5C17" w:rsidRPr="00CD6873">
        <w:rPr>
          <w:rFonts w:cs="Domine"/>
          <w:kern w:val="0"/>
          <w:szCs w:val="21"/>
        </w:rPr>
        <w:t>the two-digit addition arithmetic task, respectively).</w:t>
      </w:r>
      <w:r w:rsidR="007C5C17" w:rsidRPr="004D3130">
        <w:rPr>
          <w:rFonts w:cs="Domine"/>
          <w:color w:val="000000"/>
          <w:kern w:val="0"/>
          <w:szCs w:val="21"/>
        </w:rPr>
        <w:t xml:space="preserve"> </w:t>
      </w:r>
      <w:proofErr w:type="spellStart"/>
      <w:proofErr w:type="gramStart"/>
      <w:r w:rsidR="007C5C17" w:rsidRPr="004D3130">
        <w:rPr>
          <w:rFonts w:cs="Domine"/>
          <w:color w:val="000000"/>
          <w:kern w:val="0"/>
          <w:szCs w:val="21"/>
        </w:rPr>
        <w:t>tDCS</w:t>
      </w:r>
      <w:proofErr w:type="spellEnd"/>
      <w:proofErr w:type="gramEnd"/>
      <w:r w:rsidR="007C5C17" w:rsidRPr="004D3130">
        <w:rPr>
          <w:rFonts w:cs="Domine"/>
          <w:color w:val="000000"/>
          <w:kern w:val="0"/>
          <w:szCs w:val="21"/>
        </w:rPr>
        <w:t xml:space="preserve"> had a negligibly weak effect on mathematical non-insight problem solving.</w:t>
      </w:r>
    </w:p>
    <w:p w14:paraId="7C05A87C" w14:textId="77777777" w:rsidR="007C5C17" w:rsidRPr="004D3130" w:rsidRDefault="007C5C17" w:rsidP="00904023">
      <w:pPr>
        <w:spacing w:line="480" w:lineRule="auto"/>
        <w:rPr>
          <w:rFonts w:ascii="Domine" w:hAnsi="Domine" w:cs="Domine" w:hint="eastAsia"/>
          <w:color w:val="000000"/>
          <w:kern w:val="0"/>
          <w:szCs w:val="21"/>
        </w:rPr>
      </w:pPr>
    </w:p>
    <w:p w14:paraId="001D8FFE" w14:textId="77777777" w:rsidR="007C5C17" w:rsidRPr="004D3130" w:rsidRDefault="007C5C17" w:rsidP="00904023">
      <w:pPr>
        <w:spacing w:line="480" w:lineRule="auto"/>
        <w:rPr>
          <w:rFonts w:ascii="Domine" w:hAnsi="Domine" w:cs="Domine" w:hint="eastAsia"/>
          <w:color w:val="000000"/>
          <w:kern w:val="0"/>
          <w:szCs w:val="21"/>
        </w:rPr>
      </w:pPr>
      <w:r w:rsidRPr="004D3130">
        <w:rPr>
          <w:rFonts w:ascii="Domine" w:hAnsi="Domine" w:cs="Domine" w:hint="eastAsia"/>
          <w:noProof/>
          <w:kern w:val="0"/>
          <w:szCs w:val="21"/>
        </w:rPr>
        <w:drawing>
          <wp:inline distT="0" distB="0" distL="0" distR="0" wp14:anchorId="2A24BC1F" wp14:editId="5E51B33C">
            <wp:extent cx="5334000" cy="4000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0929A8F7" w14:textId="55C1E681" w:rsidR="007C5C17" w:rsidRPr="004D3130" w:rsidRDefault="00AE7029" w:rsidP="00904023">
      <w:pPr>
        <w:spacing w:line="480" w:lineRule="auto"/>
        <w:rPr>
          <w:rFonts w:cs="Domine"/>
          <w:color w:val="000000"/>
          <w:kern w:val="0"/>
          <w:szCs w:val="21"/>
        </w:rPr>
      </w:pPr>
      <w:bookmarkStart w:id="0" w:name="_gjdgxs" w:colFirst="0" w:colLast="0"/>
      <w:bookmarkEnd w:id="0"/>
      <w:r w:rsidRPr="00EA697A">
        <w:rPr>
          <w:rFonts w:cs="Domine"/>
          <w:b/>
          <w:kern w:val="0"/>
          <w:szCs w:val="21"/>
        </w:rPr>
        <w:t>S2 Fig.</w:t>
      </w:r>
      <w:r>
        <w:rPr>
          <w:rFonts w:cs="Domine"/>
          <w:b/>
          <w:color w:val="FF0000"/>
          <w:kern w:val="0"/>
          <w:szCs w:val="21"/>
        </w:rPr>
        <w:t xml:space="preserve"> </w:t>
      </w:r>
      <w:r w:rsidR="007C5C17" w:rsidRPr="004D3130">
        <w:rPr>
          <w:rFonts w:cs="Domine"/>
          <w:b/>
          <w:color w:val="000000"/>
          <w:kern w:val="0"/>
          <w:szCs w:val="21"/>
        </w:rPr>
        <w:t>Effect sizes of data combined between the two montages.</w:t>
      </w:r>
      <w:r w:rsidR="007C5C17" w:rsidRPr="004D3130">
        <w:rPr>
          <w:rFonts w:cs="Domine"/>
          <w:color w:val="000000"/>
          <w:kern w:val="0"/>
          <w:szCs w:val="21"/>
        </w:rPr>
        <w:t xml:space="preserve"> The dark and light gray columns represent effect sizes for the number and proportion of correct answers, respectively. The error bars represent CIs. Note that, for the matchstick arithmetic task only, the number of correct answers was positively correlated with the proportion of correct answers, indicating that the effect sizes were the same between the two measures. </w:t>
      </w:r>
    </w:p>
    <w:p w14:paraId="1E43CD39" w14:textId="77777777" w:rsidR="007C5C17" w:rsidRPr="007C5C17" w:rsidRDefault="007C5C17" w:rsidP="00904023">
      <w:pPr>
        <w:spacing w:line="480" w:lineRule="auto"/>
        <w:ind w:left="360"/>
        <w:rPr>
          <w:rFonts w:cs="Domine"/>
          <w:color w:val="000000"/>
          <w:kern w:val="0"/>
          <w:szCs w:val="21"/>
        </w:rPr>
      </w:pPr>
    </w:p>
    <w:p w14:paraId="4FDCFEF9" w14:textId="77777777" w:rsidR="007C5C17" w:rsidRDefault="007C5C17" w:rsidP="007C5C17">
      <w:pPr>
        <w:spacing w:line="480" w:lineRule="auto"/>
        <w:rPr>
          <w:rFonts w:cs="Domine"/>
          <w:color w:val="000000"/>
          <w:kern w:val="0"/>
          <w:szCs w:val="21"/>
        </w:rPr>
      </w:pPr>
    </w:p>
    <w:p w14:paraId="479A6A4D" w14:textId="3387C8E5" w:rsidR="00904023" w:rsidRPr="00CD6873" w:rsidRDefault="00904023" w:rsidP="00904023">
      <w:pPr>
        <w:numPr>
          <w:ilvl w:val="1"/>
          <w:numId w:val="2"/>
        </w:numPr>
        <w:spacing w:line="480" w:lineRule="auto"/>
        <w:rPr>
          <w:rFonts w:cs="Domine"/>
          <w:b/>
          <w:kern w:val="0"/>
          <w:sz w:val="28"/>
          <w:szCs w:val="28"/>
        </w:rPr>
      </w:pPr>
      <w:r w:rsidRPr="00CD6873">
        <w:rPr>
          <w:rFonts w:cs="Domine"/>
          <w:b/>
          <w:kern w:val="0"/>
          <w:sz w:val="28"/>
          <w:szCs w:val="28"/>
        </w:rPr>
        <w:t xml:space="preserve">Effect of </w:t>
      </w:r>
      <w:proofErr w:type="spellStart"/>
      <w:r w:rsidRPr="00CD6873">
        <w:rPr>
          <w:rFonts w:cs="Domine"/>
          <w:b/>
          <w:kern w:val="0"/>
          <w:sz w:val="28"/>
          <w:szCs w:val="28"/>
        </w:rPr>
        <w:t>tDCS</w:t>
      </w:r>
      <w:proofErr w:type="spellEnd"/>
      <w:r w:rsidRPr="00CD6873">
        <w:rPr>
          <w:rFonts w:cs="Domine"/>
          <w:b/>
          <w:kern w:val="0"/>
          <w:sz w:val="28"/>
          <w:szCs w:val="28"/>
        </w:rPr>
        <w:t xml:space="preserve"> on insight solution generation</w:t>
      </w:r>
    </w:p>
    <w:p w14:paraId="4BB6AF5E" w14:textId="5211EC20" w:rsidR="007C5C17" w:rsidRPr="004D3130" w:rsidRDefault="007C5C17" w:rsidP="007C5C17">
      <w:pPr>
        <w:spacing w:line="480" w:lineRule="auto"/>
        <w:rPr>
          <w:rFonts w:cs="Domine"/>
          <w:color w:val="000000"/>
          <w:kern w:val="0"/>
          <w:szCs w:val="21"/>
        </w:rPr>
      </w:pPr>
      <w:r w:rsidRPr="004D3130">
        <w:rPr>
          <w:rFonts w:cs="Domine"/>
          <w:color w:val="000000"/>
          <w:kern w:val="0"/>
          <w:szCs w:val="21"/>
        </w:rPr>
        <w:t xml:space="preserve">According to </w:t>
      </w:r>
      <w:proofErr w:type="spellStart"/>
      <w:r w:rsidRPr="004D3130">
        <w:rPr>
          <w:rFonts w:cs="Domine"/>
          <w:color w:val="000000"/>
          <w:kern w:val="0"/>
          <w:szCs w:val="21"/>
        </w:rPr>
        <w:t>Metuki</w:t>
      </w:r>
      <w:proofErr w:type="spellEnd"/>
      <w:r w:rsidRPr="004D3130">
        <w:rPr>
          <w:rFonts w:cs="Domine"/>
          <w:color w:val="000000"/>
          <w:kern w:val="0"/>
          <w:szCs w:val="21"/>
        </w:rPr>
        <w:t xml:space="preserve"> et al. </w:t>
      </w:r>
      <w:r w:rsidRPr="004D3130">
        <w:rPr>
          <w:rFonts w:cs="Domine"/>
          <w:kern w:val="0"/>
          <w:szCs w:val="21"/>
        </w:rPr>
        <w:t>[</w:t>
      </w:r>
      <w:r w:rsidR="00BF7026" w:rsidRPr="00CD6873">
        <w:rPr>
          <w:rFonts w:cs="Domine"/>
          <w:kern w:val="0"/>
          <w:szCs w:val="21"/>
        </w:rPr>
        <w:t>2</w:t>
      </w:r>
      <w:r w:rsidRPr="004D3130">
        <w:rPr>
          <w:rFonts w:cs="Domine"/>
          <w:kern w:val="0"/>
          <w:szCs w:val="21"/>
        </w:rPr>
        <w:t>],</w:t>
      </w:r>
      <w:r w:rsidRPr="004D3130">
        <w:rPr>
          <w:rFonts w:cs="Domine"/>
          <w:color w:val="000000"/>
          <w:kern w:val="0"/>
          <w:szCs w:val="21"/>
        </w:rPr>
        <w:t xml:space="preserve"> insight problem solving consists of solution generation and </w:t>
      </w:r>
      <w:r w:rsidRPr="004D3130">
        <w:rPr>
          <w:rFonts w:cs="Domine"/>
          <w:color w:val="000000"/>
          <w:kern w:val="0"/>
          <w:szCs w:val="21"/>
        </w:rPr>
        <w:lastRenderedPageBreak/>
        <w:t>recognition processes. The right temporal lobe is thought to be involved in solution generation, whereas the left DLPFC is engaged in solution recognition</w:t>
      </w:r>
      <w:r w:rsidRPr="00CD6873">
        <w:rPr>
          <w:rFonts w:cs="Domine"/>
          <w:kern w:val="0"/>
          <w:szCs w:val="21"/>
        </w:rPr>
        <w:t xml:space="preserve"> [</w:t>
      </w:r>
      <w:r w:rsidR="00BF7026" w:rsidRPr="00CD6873">
        <w:rPr>
          <w:rFonts w:cs="Domine"/>
          <w:kern w:val="0"/>
          <w:szCs w:val="21"/>
        </w:rPr>
        <w:t>2</w:t>
      </w:r>
      <w:r w:rsidRPr="004D3130">
        <w:rPr>
          <w:rFonts w:cs="Domine"/>
          <w:color w:val="000000"/>
          <w:kern w:val="0"/>
          <w:szCs w:val="21"/>
        </w:rPr>
        <w:t xml:space="preserve">]. If this is the case, anodal </w:t>
      </w:r>
      <w:proofErr w:type="spellStart"/>
      <w:r w:rsidRPr="004D3130">
        <w:rPr>
          <w:rFonts w:cs="Domine"/>
          <w:color w:val="000000"/>
          <w:kern w:val="0"/>
          <w:szCs w:val="21"/>
        </w:rPr>
        <w:t>tDCS</w:t>
      </w:r>
      <w:proofErr w:type="spellEnd"/>
      <w:r w:rsidRPr="004D3130">
        <w:rPr>
          <w:rFonts w:cs="Domine"/>
          <w:color w:val="000000"/>
          <w:kern w:val="0"/>
          <w:szCs w:val="21"/>
        </w:rPr>
        <w:t xml:space="preserve"> to the right ATL would be expected to activate the right temporal lobe and therefore facilitate solution generation. Thus, we speculated that improved solution generation would be reflected by an increased number of both correct and incorrect answers. To examine this possibility, we investigated whether </w:t>
      </w:r>
      <w:proofErr w:type="spellStart"/>
      <w:r w:rsidRPr="004D3130">
        <w:rPr>
          <w:rFonts w:cs="Domine"/>
          <w:color w:val="000000"/>
          <w:kern w:val="0"/>
          <w:szCs w:val="21"/>
        </w:rPr>
        <w:t>tDCS</w:t>
      </w:r>
      <w:proofErr w:type="spellEnd"/>
      <w:r w:rsidRPr="004D3130">
        <w:rPr>
          <w:rFonts w:cs="Domine"/>
          <w:color w:val="000000"/>
          <w:kern w:val="0"/>
          <w:szCs w:val="21"/>
        </w:rPr>
        <w:t xml:space="preserve"> affected the number of answers generated. </w:t>
      </w:r>
    </w:p>
    <w:p w14:paraId="3A729113" w14:textId="4D6789C7" w:rsidR="007C5C17" w:rsidRPr="004D3130" w:rsidRDefault="00EA697A" w:rsidP="007C5C17">
      <w:pPr>
        <w:spacing w:line="480" w:lineRule="auto"/>
        <w:ind w:firstLineChars="100" w:firstLine="210"/>
        <w:rPr>
          <w:rFonts w:cs="Domine"/>
          <w:kern w:val="0"/>
          <w:szCs w:val="21"/>
        </w:rPr>
      </w:pPr>
      <w:r w:rsidRPr="00EA697A">
        <w:rPr>
          <w:rFonts w:cs="Domine"/>
          <w:kern w:val="0"/>
          <w:szCs w:val="21"/>
        </w:rPr>
        <w:t>S3 Fig</w:t>
      </w:r>
      <w:r w:rsidR="00AE7029">
        <w:rPr>
          <w:rFonts w:cs="Domine"/>
          <w:color w:val="FF0000"/>
          <w:kern w:val="0"/>
          <w:szCs w:val="21"/>
        </w:rPr>
        <w:t xml:space="preserve"> </w:t>
      </w:r>
      <w:r w:rsidR="007C5C17" w:rsidRPr="004D3130">
        <w:rPr>
          <w:rFonts w:cs="Domine"/>
          <w:color w:val="000000"/>
          <w:kern w:val="0"/>
          <w:szCs w:val="21"/>
        </w:rPr>
        <w:t xml:space="preserve">displays bar graphs of effect sizes with CIs for each case. In most cases, effect sizes were negligibly small. </w:t>
      </w:r>
      <w:r w:rsidR="007C5C17">
        <w:rPr>
          <w:rFonts w:cs="Domine"/>
          <w:color w:val="000000"/>
          <w:kern w:val="0"/>
          <w:szCs w:val="21"/>
        </w:rPr>
        <w:t>The effect size was moderate only</w:t>
      </w:r>
      <w:r w:rsidR="007C5C17" w:rsidRPr="004D3130">
        <w:rPr>
          <w:rFonts w:cs="Domine"/>
          <w:color w:val="000000"/>
          <w:kern w:val="0"/>
          <w:szCs w:val="21"/>
        </w:rPr>
        <w:t xml:space="preserve"> in the matchstick task with the “bi-cephalic” montage</w:t>
      </w:r>
      <w:r w:rsidR="007C5C17">
        <w:rPr>
          <w:rFonts w:cs="Domine"/>
          <w:color w:val="000000"/>
          <w:kern w:val="0"/>
          <w:szCs w:val="21"/>
        </w:rPr>
        <w:t>. However,</w:t>
      </w:r>
      <w:r w:rsidR="007C5C17" w:rsidRPr="004D3130">
        <w:rPr>
          <w:rFonts w:cs="Domine"/>
          <w:color w:val="000000"/>
          <w:kern w:val="0"/>
          <w:szCs w:val="21"/>
        </w:rPr>
        <w:t xml:space="preserve"> </w:t>
      </w:r>
      <w:r w:rsidR="007C5C17">
        <w:rPr>
          <w:rFonts w:cs="Domine"/>
          <w:kern w:val="0"/>
          <w:szCs w:val="21"/>
        </w:rPr>
        <w:t>the</w:t>
      </w:r>
      <w:r w:rsidR="007C5C17" w:rsidRPr="00266D05">
        <w:rPr>
          <w:rFonts w:cs="Domine"/>
          <w:kern w:val="0"/>
          <w:szCs w:val="21"/>
        </w:rPr>
        <w:t xml:space="preserve"> difference between active and sham </w:t>
      </w:r>
      <w:proofErr w:type="spellStart"/>
      <w:r w:rsidR="007C5C17" w:rsidRPr="00266D05">
        <w:rPr>
          <w:rFonts w:cs="Domine"/>
          <w:kern w:val="0"/>
          <w:szCs w:val="21"/>
        </w:rPr>
        <w:t>tDCS</w:t>
      </w:r>
      <w:proofErr w:type="spellEnd"/>
      <w:r w:rsidR="007C5C17" w:rsidRPr="00266D05">
        <w:rPr>
          <w:rFonts w:cs="Domine"/>
          <w:kern w:val="0"/>
          <w:szCs w:val="21"/>
        </w:rPr>
        <w:t xml:space="preserve"> sessions </w:t>
      </w:r>
      <w:r w:rsidR="007C5C17">
        <w:rPr>
          <w:rFonts w:cs="Domine"/>
          <w:kern w:val="0"/>
          <w:szCs w:val="21"/>
        </w:rPr>
        <w:t xml:space="preserve">was not significant </w:t>
      </w:r>
      <w:r w:rsidR="007C5C17" w:rsidRPr="00266D05">
        <w:rPr>
          <w:rFonts w:cs="Domine"/>
          <w:kern w:val="0"/>
          <w:szCs w:val="21"/>
        </w:rPr>
        <w:t xml:space="preserve">(t-test, p = 0.07). These results suggest that both temporal lobes may not be involved in solution generation, inconsistent with the hypothesis proposed by </w:t>
      </w:r>
      <w:proofErr w:type="spellStart"/>
      <w:r w:rsidR="007C5C17" w:rsidRPr="00266D05">
        <w:rPr>
          <w:rFonts w:cs="Domine"/>
          <w:kern w:val="0"/>
          <w:szCs w:val="21"/>
        </w:rPr>
        <w:t>Metuki</w:t>
      </w:r>
      <w:proofErr w:type="spellEnd"/>
      <w:r w:rsidR="007C5C17" w:rsidRPr="00266D05">
        <w:rPr>
          <w:rFonts w:cs="Domine"/>
          <w:kern w:val="0"/>
          <w:szCs w:val="21"/>
        </w:rPr>
        <w:t xml:space="preserve"> et al. [</w:t>
      </w:r>
      <w:r w:rsidR="00BF7026" w:rsidRPr="00CD6873">
        <w:rPr>
          <w:rFonts w:cs="Domine"/>
          <w:kern w:val="0"/>
          <w:szCs w:val="21"/>
        </w:rPr>
        <w:t>2</w:t>
      </w:r>
      <w:r w:rsidR="007C5C17" w:rsidRPr="00CD6873">
        <w:rPr>
          <w:rFonts w:cs="Domine"/>
          <w:kern w:val="0"/>
          <w:szCs w:val="21"/>
        </w:rPr>
        <w:t>]</w:t>
      </w:r>
      <w:r w:rsidR="007C5C17" w:rsidRPr="00266D05">
        <w:rPr>
          <w:rFonts w:cs="Domine"/>
          <w:kern w:val="0"/>
          <w:szCs w:val="21"/>
        </w:rPr>
        <w:t>. However, as described in the m</w:t>
      </w:r>
      <w:r w:rsidR="007C5C17" w:rsidRPr="004D3130">
        <w:rPr>
          <w:rFonts w:cs="Domine"/>
          <w:kern w:val="0"/>
          <w:szCs w:val="21"/>
        </w:rPr>
        <w:t xml:space="preserve">ain text, the inhibitory effects of cathodal </w:t>
      </w:r>
      <w:proofErr w:type="spellStart"/>
      <w:r w:rsidR="007C5C17" w:rsidRPr="004D3130">
        <w:rPr>
          <w:rFonts w:cs="Domine"/>
          <w:kern w:val="0"/>
          <w:szCs w:val="21"/>
        </w:rPr>
        <w:t>tDCS</w:t>
      </w:r>
      <w:proofErr w:type="spellEnd"/>
      <w:r w:rsidR="007C5C17" w:rsidRPr="004D3130">
        <w:rPr>
          <w:rFonts w:cs="Domine"/>
          <w:kern w:val="0"/>
          <w:szCs w:val="21"/>
        </w:rPr>
        <w:t xml:space="preserve"> are still contentious. Therefore, further investigation in future studies</w:t>
      </w:r>
      <w:r w:rsidR="007C5C17">
        <w:rPr>
          <w:rFonts w:cs="Domine"/>
          <w:kern w:val="0"/>
          <w:szCs w:val="21"/>
        </w:rPr>
        <w:t xml:space="preserve"> is necessary to clarify this issue</w:t>
      </w:r>
      <w:r w:rsidR="007C5C17" w:rsidRPr="004D3130">
        <w:rPr>
          <w:rFonts w:cs="Domine"/>
          <w:kern w:val="0"/>
          <w:szCs w:val="21"/>
        </w:rPr>
        <w:t xml:space="preserve">. </w:t>
      </w:r>
    </w:p>
    <w:p w14:paraId="6BEAF1F6" w14:textId="77777777" w:rsidR="007C5C17" w:rsidRPr="007C5C17" w:rsidRDefault="007C5C17" w:rsidP="007C5C17">
      <w:pPr>
        <w:spacing w:line="480" w:lineRule="auto"/>
        <w:rPr>
          <w:rFonts w:cs="Domine"/>
          <w:kern w:val="0"/>
          <w:szCs w:val="21"/>
        </w:rPr>
      </w:pPr>
    </w:p>
    <w:p w14:paraId="2EEE5458" w14:textId="77777777" w:rsidR="007C5C17" w:rsidRDefault="007C5C17" w:rsidP="007C5C17">
      <w:pPr>
        <w:spacing w:line="480" w:lineRule="auto"/>
        <w:rPr>
          <w:rFonts w:ascii="Domine" w:hAnsi="Domine" w:cs="Domine" w:hint="eastAsia"/>
          <w:kern w:val="0"/>
          <w:szCs w:val="21"/>
        </w:rPr>
      </w:pPr>
    </w:p>
    <w:p w14:paraId="5EC3339E" w14:textId="1FFBE695" w:rsidR="007C5C17" w:rsidRPr="007C5C17" w:rsidRDefault="007C5C17" w:rsidP="007C5C17">
      <w:pPr>
        <w:spacing w:line="480" w:lineRule="auto"/>
        <w:rPr>
          <w:rFonts w:ascii="Domine" w:hAnsi="Domine" w:cs="Domine" w:hint="eastAsia"/>
          <w:kern w:val="0"/>
          <w:szCs w:val="21"/>
        </w:rPr>
      </w:pPr>
      <w:r w:rsidRPr="004D3130">
        <w:rPr>
          <w:rFonts w:ascii="Domine" w:hAnsi="Domine" w:cs="Domine" w:hint="eastAsia"/>
          <w:noProof/>
          <w:kern w:val="0"/>
          <w:szCs w:val="21"/>
        </w:rPr>
        <w:lastRenderedPageBreak/>
        <w:drawing>
          <wp:inline distT="0" distB="0" distL="0" distR="0" wp14:anchorId="7DF26CCF" wp14:editId="584540A7">
            <wp:extent cx="5353050" cy="37433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743325"/>
                    </a:xfrm>
                    <a:prstGeom prst="rect">
                      <a:avLst/>
                    </a:prstGeom>
                    <a:noFill/>
                    <a:ln>
                      <a:noFill/>
                    </a:ln>
                  </pic:spPr>
                </pic:pic>
              </a:graphicData>
            </a:graphic>
          </wp:inline>
        </w:drawing>
      </w:r>
      <w:r w:rsidRPr="00AE7029">
        <w:rPr>
          <w:rFonts w:cs="Domine"/>
          <w:b/>
          <w:color w:val="000000"/>
          <w:kern w:val="0"/>
          <w:szCs w:val="21"/>
        </w:rPr>
        <w:t xml:space="preserve"> </w:t>
      </w:r>
      <w:r w:rsidR="00AE7029" w:rsidRPr="00EA697A">
        <w:rPr>
          <w:rFonts w:cs="Domine"/>
          <w:b/>
          <w:kern w:val="0"/>
          <w:szCs w:val="21"/>
        </w:rPr>
        <w:t>S3 Fig.</w:t>
      </w:r>
      <w:r w:rsidR="00AE7029">
        <w:rPr>
          <w:rFonts w:cs="Domine"/>
          <w:b/>
          <w:color w:val="FF0000"/>
          <w:kern w:val="0"/>
          <w:szCs w:val="21"/>
        </w:rPr>
        <w:t xml:space="preserve"> </w:t>
      </w:r>
      <w:r w:rsidRPr="007C5C17">
        <w:rPr>
          <w:rFonts w:cs="Domine"/>
          <w:b/>
          <w:color w:val="000000"/>
          <w:kern w:val="0"/>
          <w:szCs w:val="21"/>
        </w:rPr>
        <w:t>Effect sizes for the numbers of answers.</w:t>
      </w:r>
      <w:r w:rsidRPr="007C5C17">
        <w:rPr>
          <w:rFonts w:cs="Domine"/>
          <w:color w:val="000000"/>
          <w:kern w:val="0"/>
          <w:szCs w:val="21"/>
        </w:rPr>
        <w:t xml:space="preserve"> The dark and light gray columns represent effect sizes for the number of answers with “bi-cephalic” and “extra-cephalic” montages, respectively. The error bars represent CIs. Matchstick = matchstick arithmetic task; RAT = remote associates task; Addition = two-digit addition arithmetic task</w:t>
      </w:r>
    </w:p>
    <w:p w14:paraId="5A7BD0FC" w14:textId="77777777" w:rsidR="007C5C17" w:rsidRPr="007C5C17" w:rsidRDefault="007C5C17" w:rsidP="007C5C17">
      <w:pPr>
        <w:spacing w:line="480" w:lineRule="auto"/>
        <w:ind w:left="360"/>
        <w:rPr>
          <w:rFonts w:cs="Domine"/>
          <w:color w:val="FF0000"/>
          <w:kern w:val="0"/>
          <w:sz w:val="32"/>
          <w:szCs w:val="32"/>
        </w:rPr>
      </w:pPr>
    </w:p>
    <w:p w14:paraId="3D9DC271" w14:textId="6B42A31E" w:rsidR="00374DDB" w:rsidRPr="00CD6873" w:rsidRDefault="00F754A1" w:rsidP="007C5C17">
      <w:pPr>
        <w:spacing w:line="480" w:lineRule="auto"/>
        <w:rPr>
          <w:rFonts w:cs="Domine"/>
          <w:b/>
          <w:kern w:val="0"/>
          <w:sz w:val="28"/>
          <w:szCs w:val="28"/>
        </w:rPr>
      </w:pPr>
      <w:r w:rsidRPr="00CD6873">
        <w:rPr>
          <w:rFonts w:cs="Domine"/>
          <w:b/>
          <w:kern w:val="0"/>
          <w:sz w:val="28"/>
          <w:szCs w:val="28"/>
        </w:rPr>
        <w:t xml:space="preserve">2.3. </w:t>
      </w:r>
      <w:r w:rsidR="00374DDB" w:rsidRPr="00CD6873">
        <w:rPr>
          <w:rFonts w:cs="Domine" w:hint="eastAsia"/>
          <w:b/>
          <w:kern w:val="0"/>
          <w:sz w:val="28"/>
          <w:szCs w:val="28"/>
        </w:rPr>
        <w:t xml:space="preserve">Effect of </w:t>
      </w:r>
      <w:proofErr w:type="spellStart"/>
      <w:r w:rsidR="00374DDB" w:rsidRPr="00CD6873">
        <w:rPr>
          <w:rFonts w:cs="Domine"/>
          <w:b/>
          <w:kern w:val="0"/>
          <w:sz w:val="28"/>
          <w:szCs w:val="28"/>
        </w:rPr>
        <w:t>tDCS</w:t>
      </w:r>
      <w:proofErr w:type="spellEnd"/>
      <w:r w:rsidR="00374DDB" w:rsidRPr="00CD6873">
        <w:rPr>
          <w:rFonts w:cs="Domine"/>
          <w:b/>
          <w:kern w:val="0"/>
          <w:sz w:val="28"/>
          <w:szCs w:val="28"/>
        </w:rPr>
        <w:t xml:space="preserve"> on response times </w:t>
      </w:r>
    </w:p>
    <w:p w14:paraId="68393D31" w14:textId="3532CE22" w:rsidR="00374DDB" w:rsidRPr="00CD6873" w:rsidRDefault="00374DDB" w:rsidP="00374DDB">
      <w:pPr>
        <w:spacing w:line="480" w:lineRule="auto"/>
        <w:ind w:firstLineChars="100" w:firstLine="210"/>
        <w:rPr>
          <w:rFonts w:cs="Domine"/>
          <w:kern w:val="0"/>
          <w:szCs w:val="21"/>
        </w:rPr>
      </w:pPr>
      <w:r w:rsidRPr="00CD6873">
        <w:rPr>
          <w:rFonts w:cs="Domine"/>
          <w:kern w:val="0"/>
          <w:szCs w:val="21"/>
        </w:rPr>
        <w:t xml:space="preserve">We also investigated whether </w:t>
      </w:r>
      <w:proofErr w:type="spellStart"/>
      <w:r w:rsidRPr="00CD6873">
        <w:rPr>
          <w:rFonts w:cs="Domine"/>
          <w:kern w:val="0"/>
          <w:szCs w:val="21"/>
        </w:rPr>
        <w:t>tDC</w:t>
      </w:r>
      <w:r w:rsidR="00047FBA" w:rsidRPr="00CD6873">
        <w:rPr>
          <w:rFonts w:cs="Domine"/>
          <w:kern w:val="0"/>
          <w:szCs w:val="21"/>
        </w:rPr>
        <w:t>S</w:t>
      </w:r>
      <w:proofErr w:type="spellEnd"/>
      <w:r w:rsidR="00047FBA" w:rsidRPr="00CD6873">
        <w:rPr>
          <w:rFonts w:cs="Domine"/>
          <w:kern w:val="0"/>
          <w:szCs w:val="21"/>
        </w:rPr>
        <w:t xml:space="preserve"> affected response times (RTs)</w:t>
      </w:r>
      <w:r w:rsidRPr="00CD6873">
        <w:rPr>
          <w:rFonts w:cs="Domine"/>
          <w:kern w:val="0"/>
          <w:szCs w:val="21"/>
        </w:rPr>
        <w:t>. For both the matchstic</w:t>
      </w:r>
      <w:r w:rsidR="00047FBA" w:rsidRPr="00CD6873">
        <w:rPr>
          <w:rFonts w:cs="Domine"/>
          <w:kern w:val="0"/>
          <w:szCs w:val="21"/>
        </w:rPr>
        <w:t>k arithmetic and the RAT tasks,</w:t>
      </w:r>
      <w:r w:rsidRPr="00CD6873">
        <w:rPr>
          <w:rFonts w:cs="Domine"/>
          <w:kern w:val="0"/>
          <w:szCs w:val="21"/>
        </w:rPr>
        <w:t xml:space="preserve"> we compared RTs of correct answers between the active and sham </w:t>
      </w:r>
      <w:proofErr w:type="spellStart"/>
      <w:r w:rsidRPr="00CD6873">
        <w:rPr>
          <w:rFonts w:cs="Domine"/>
          <w:kern w:val="0"/>
          <w:szCs w:val="21"/>
        </w:rPr>
        <w:t>tDCS</w:t>
      </w:r>
      <w:proofErr w:type="spellEnd"/>
      <w:r w:rsidRPr="00CD6873">
        <w:rPr>
          <w:rFonts w:cs="Domine"/>
          <w:kern w:val="0"/>
          <w:szCs w:val="21"/>
        </w:rPr>
        <w:t xml:space="preserve"> sessions. </w:t>
      </w:r>
    </w:p>
    <w:p w14:paraId="76ED8053" w14:textId="5F0D4A3B" w:rsidR="00374DDB" w:rsidRPr="00CD6873" w:rsidRDefault="00374DDB" w:rsidP="00374DDB">
      <w:pPr>
        <w:spacing w:line="480" w:lineRule="auto"/>
        <w:ind w:firstLineChars="100" w:firstLine="210"/>
        <w:rPr>
          <w:rFonts w:cs="Domine"/>
          <w:kern w:val="0"/>
          <w:szCs w:val="21"/>
        </w:rPr>
      </w:pPr>
      <w:r w:rsidRPr="00CD6873">
        <w:rPr>
          <w:rFonts w:cs="Domine"/>
          <w:kern w:val="0"/>
          <w:szCs w:val="21"/>
        </w:rPr>
        <w:lastRenderedPageBreak/>
        <w:t xml:space="preserve">A two-sample t-test </w:t>
      </w:r>
      <w:r w:rsidR="008D34FE" w:rsidRPr="00CD6873">
        <w:rPr>
          <w:rFonts w:cs="Domine"/>
          <w:kern w:val="0"/>
          <w:szCs w:val="21"/>
        </w:rPr>
        <w:t xml:space="preserve">revealed </w:t>
      </w:r>
      <w:r w:rsidRPr="00CD6873">
        <w:rPr>
          <w:rFonts w:cs="Domine"/>
          <w:kern w:val="0"/>
          <w:szCs w:val="21"/>
        </w:rPr>
        <w:t xml:space="preserve">that p = 0.1971 for the matchstick arithmetic and p = 0.7931 for the RAT task, suggesting that </w:t>
      </w:r>
      <w:proofErr w:type="spellStart"/>
      <w:r w:rsidRPr="00CD6873">
        <w:rPr>
          <w:rFonts w:cs="Domine"/>
          <w:kern w:val="0"/>
          <w:szCs w:val="21"/>
        </w:rPr>
        <w:t>tDCS</w:t>
      </w:r>
      <w:proofErr w:type="spellEnd"/>
      <w:r w:rsidRPr="00CD6873">
        <w:rPr>
          <w:rFonts w:cs="Domine"/>
          <w:kern w:val="0"/>
          <w:szCs w:val="21"/>
        </w:rPr>
        <w:t xml:space="preserve"> did not significantly affect RTs for either insight type.</w:t>
      </w:r>
    </w:p>
    <w:p w14:paraId="706D87FD" w14:textId="77777777" w:rsidR="00374DDB" w:rsidRDefault="00374DDB" w:rsidP="00374DDB">
      <w:pPr>
        <w:spacing w:line="480" w:lineRule="auto"/>
        <w:ind w:firstLineChars="100" w:firstLine="210"/>
        <w:rPr>
          <w:rFonts w:cs="Domine"/>
          <w:color w:val="FF0000"/>
          <w:kern w:val="0"/>
          <w:szCs w:val="21"/>
        </w:rPr>
      </w:pPr>
    </w:p>
    <w:p w14:paraId="1060F634" w14:textId="577F7A6F" w:rsidR="00374DDB" w:rsidRPr="00CD6873" w:rsidRDefault="00F754A1" w:rsidP="00374DDB">
      <w:pPr>
        <w:spacing w:line="480" w:lineRule="auto"/>
        <w:rPr>
          <w:rFonts w:cs="Domine"/>
          <w:b/>
          <w:kern w:val="0"/>
          <w:sz w:val="28"/>
          <w:szCs w:val="28"/>
        </w:rPr>
      </w:pPr>
      <w:r w:rsidRPr="00CD6873">
        <w:rPr>
          <w:rFonts w:cs="Domine"/>
          <w:b/>
          <w:kern w:val="0"/>
          <w:sz w:val="28"/>
          <w:szCs w:val="28"/>
        </w:rPr>
        <w:t>2.4</w:t>
      </w:r>
      <w:r w:rsidR="00374DDB" w:rsidRPr="00CD6873">
        <w:rPr>
          <w:rFonts w:cs="Domine"/>
          <w:b/>
          <w:kern w:val="0"/>
          <w:sz w:val="28"/>
          <w:szCs w:val="28"/>
        </w:rPr>
        <w:t xml:space="preserve">. </w:t>
      </w:r>
      <w:r w:rsidR="00374DDB" w:rsidRPr="00CD6873">
        <w:rPr>
          <w:rFonts w:cs="Domine" w:hint="eastAsia"/>
          <w:b/>
          <w:kern w:val="0"/>
          <w:sz w:val="28"/>
          <w:szCs w:val="28"/>
        </w:rPr>
        <w:t xml:space="preserve">Survival </w:t>
      </w:r>
      <w:r w:rsidR="00374DDB" w:rsidRPr="00CD6873">
        <w:rPr>
          <w:rFonts w:cs="Domine"/>
          <w:b/>
          <w:kern w:val="0"/>
          <w:sz w:val="28"/>
          <w:szCs w:val="28"/>
        </w:rPr>
        <w:t>analysis</w:t>
      </w:r>
    </w:p>
    <w:p w14:paraId="72D1DAB7" w14:textId="39219DBA" w:rsidR="00374DDB" w:rsidRPr="00CD6873" w:rsidRDefault="00374DDB" w:rsidP="00374DDB">
      <w:pPr>
        <w:spacing w:line="480" w:lineRule="auto"/>
        <w:ind w:firstLineChars="100" w:firstLine="210"/>
        <w:rPr>
          <w:rFonts w:cs="Domine"/>
          <w:kern w:val="0"/>
          <w:szCs w:val="21"/>
        </w:rPr>
      </w:pPr>
      <w:r w:rsidRPr="00CD6873">
        <w:rPr>
          <w:rFonts w:cs="Domine"/>
          <w:kern w:val="0"/>
          <w:szCs w:val="21"/>
        </w:rPr>
        <w:t xml:space="preserve">In </w:t>
      </w:r>
      <w:r w:rsidR="004E67CD" w:rsidRPr="00CD6873">
        <w:rPr>
          <w:rFonts w:cs="Domine"/>
          <w:kern w:val="0"/>
          <w:szCs w:val="21"/>
        </w:rPr>
        <w:t xml:space="preserve">a </w:t>
      </w:r>
      <w:r w:rsidRPr="00CD6873">
        <w:rPr>
          <w:rFonts w:cs="Domine"/>
          <w:kern w:val="0"/>
          <w:szCs w:val="21"/>
        </w:rPr>
        <w:t>prev</w:t>
      </w:r>
      <w:r w:rsidR="00BF7026" w:rsidRPr="00CD6873">
        <w:rPr>
          <w:rFonts w:cs="Domine"/>
          <w:kern w:val="0"/>
          <w:szCs w:val="21"/>
        </w:rPr>
        <w:t xml:space="preserve">ious study </w:t>
      </w:r>
      <w:r w:rsidRPr="00CD6873">
        <w:rPr>
          <w:rFonts w:cs="Domine"/>
          <w:kern w:val="0"/>
          <w:szCs w:val="21"/>
        </w:rPr>
        <w:t>of the matchstick arithmetic task</w:t>
      </w:r>
      <w:r w:rsidR="00BF7026" w:rsidRPr="00CD6873">
        <w:rPr>
          <w:rFonts w:cs="Domine"/>
          <w:kern w:val="0"/>
          <w:szCs w:val="21"/>
        </w:rPr>
        <w:t xml:space="preserve"> [3]</w:t>
      </w:r>
      <w:r w:rsidRPr="00CD6873">
        <w:rPr>
          <w:rFonts w:cs="Domine"/>
          <w:kern w:val="0"/>
          <w:szCs w:val="21"/>
        </w:rPr>
        <w:t xml:space="preserve">, a survival (time to event) analysis was used to compare whether there </w:t>
      </w:r>
      <w:r w:rsidR="004E67CD" w:rsidRPr="00CD6873">
        <w:rPr>
          <w:rFonts w:cs="Domine"/>
          <w:kern w:val="0"/>
          <w:szCs w:val="21"/>
        </w:rPr>
        <w:t xml:space="preserve">were </w:t>
      </w:r>
      <w:r w:rsidRPr="00CD6873">
        <w:rPr>
          <w:rFonts w:cs="Domine"/>
          <w:kern w:val="0"/>
          <w:szCs w:val="21"/>
        </w:rPr>
        <w:t>any difference</w:t>
      </w:r>
      <w:r w:rsidR="004E67CD" w:rsidRPr="00CD6873">
        <w:rPr>
          <w:rFonts w:cs="Domine"/>
          <w:kern w:val="0"/>
          <w:szCs w:val="21"/>
        </w:rPr>
        <w:t>s</w:t>
      </w:r>
      <w:r w:rsidRPr="00CD6873">
        <w:rPr>
          <w:rFonts w:cs="Domine"/>
          <w:kern w:val="0"/>
          <w:szCs w:val="21"/>
        </w:rPr>
        <w:t xml:space="preserve"> in</w:t>
      </w:r>
      <w:r w:rsidR="004E67CD" w:rsidRPr="00CD6873">
        <w:rPr>
          <w:rFonts w:cs="Domine"/>
          <w:kern w:val="0"/>
          <w:szCs w:val="21"/>
        </w:rPr>
        <w:t xml:space="preserve"> </w:t>
      </w:r>
      <w:r w:rsidRPr="00CD6873">
        <w:rPr>
          <w:rFonts w:cs="Domine"/>
          <w:kern w:val="0"/>
          <w:szCs w:val="21"/>
        </w:rPr>
        <w:t xml:space="preserve">time to event curves between the active </w:t>
      </w:r>
      <w:proofErr w:type="spellStart"/>
      <w:r w:rsidRPr="00CD6873">
        <w:rPr>
          <w:rFonts w:cs="Domine"/>
          <w:kern w:val="0"/>
          <w:szCs w:val="21"/>
        </w:rPr>
        <w:t>tDCS</w:t>
      </w:r>
      <w:proofErr w:type="spellEnd"/>
      <w:r w:rsidRPr="00CD6873">
        <w:rPr>
          <w:rFonts w:cs="Domine"/>
          <w:kern w:val="0"/>
          <w:szCs w:val="21"/>
        </w:rPr>
        <w:t xml:space="preserve"> group and the sham </w:t>
      </w:r>
      <w:proofErr w:type="spellStart"/>
      <w:r w:rsidRPr="00CD6873">
        <w:rPr>
          <w:rFonts w:cs="Domine"/>
          <w:kern w:val="0"/>
          <w:szCs w:val="21"/>
        </w:rPr>
        <w:t>tDCS</w:t>
      </w:r>
      <w:proofErr w:type="spellEnd"/>
      <w:r w:rsidRPr="00CD6873">
        <w:rPr>
          <w:rFonts w:cs="Domine"/>
          <w:kern w:val="0"/>
          <w:szCs w:val="21"/>
        </w:rPr>
        <w:t xml:space="preserve"> group. Thus, we conducted </w:t>
      </w:r>
      <w:r w:rsidR="00BE69C4" w:rsidRPr="00CD6873">
        <w:rPr>
          <w:rFonts w:cs="Domine"/>
          <w:kern w:val="0"/>
          <w:szCs w:val="21"/>
        </w:rPr>
        <w:t xml:space="preserve">a </w:t>
      </w:r>
      <w:r w:rsidRPr="00CD6873">
        <w:rPr>
          <w:rFonts w:cs="Domine"/>
          <w:kern w:val="0"/>
          <w:szCs w:val="21"/>
        </w:rPr>
        <w:t xml:space="preserve">similar analysis in the following way. First, for each problem, time to event curves were plotted using </w:t>
      </w:r>
      <w:r w:rsidR="00BE69C4" w:rsidRPr="00CD6873">
        <w:rPr>
          <w:rFonts w:cs="Domine"/>
          <w:kern w:val="0"/>
          <w:szCs w:val="21"/>
        </w:rPr>
        <w:t xml:space="preserve">the </w:t>
      </w:r>
      <w:r w:rsidRPr="00CD6873">
        <w:rPr>
          <w:rFonts w:cs="Domine"/>
          <w:kern w:val="0"/>
          <w:szCs w:val="21"/>
        </w:rPr>
        <w:t xml:space="preserve">Kaplan-Meier method. Then, </w:t>
      </w:r>
      <w:r w:rsidR="00BE69C4" w:rsidRPr="00CD6873">
        <w:rPr>
          <w:rFonts w:cs="Domine"/>
          <w:kern w:val="0"/>
          <w:szCs w:val="21"/>
        </w:rPr>
        <w:t xml:space="preserve">we conducted a </w:t>
      </w:r>
      <w:r w:rsidRPr="00CD6873">
        <w:rPr>
          <w:rFonts w:cs="Domine"/>
          <w:kern w:val="0"/>
          <w:szCs w:val="21"/>
        </w:rPr>
        <w:t xml:space="preserve">comparison of the curves between </w:t>
      </w:r>
      <w:r w:rsidR="001C1130" w:rsidRPr="00CD6873">
        <w:rPr>
          <w:rFonts w:cs="Domine"/>
          <w:kern w:val="0"/>
          <w:szCs w:val="21"/>
        </w:rPr>
        <w:t xml:space="preserve">the </w:t>
      </w:r>
      <w:r w:rsidRPr="00CD6873">
        <w:rPr>
          <w:rFonts w:cs="Domine"/>
          <w:kern w:val="0"/>
          <w:szCs w:val="21"/>
        </w:rPr>
        <w:t xml:space="preserve">active and sham </w:t>
      </w:r>
      <w:proofErr w:type="spellStart"/>
      <w:r w:rsidRPr="00CD6873">
        <w:rPr>
          <w:rFonts w:cs="Domine"/>
          <w:kern w:val="0"/>
          <w:szCs w:val="21"/>
        </w:rPr>
        <w:t>tDCS</w:t>
      </w:r>
      <w:proofErr w:type="spellEnd"/>
      <w:r w:rsidRPr="00CD6873">
        <w:rPr>
          <w:rFonts w:cs="Domine"/>
          <w:kern w:val="0"/>
          <w:szCs w:val="21"/>
        </w:rPr>
        <w:t xml:space="preserve"> session</w:t>
      </w:r>
      <w:r w:rsidR="001C1130" w:rsidRPr="00CD6873">
        <w:rPr>
          <w:rFonts w:cs="Domine"/>
          <w:kern w:val="0"/>
          <w:szCs w:val="21"/>
        </w:rPr>
        <w:t>s</w:t>
      </w:r>
      <w:r w:rsidRPr="00CD6873">
        <w:rPr>
          <w:rFonts w:cs="Domine"/>
          <w:kern w:val="0"/>
          <w:szCs w:val="21"/>
        </w:rPr>
        <w:t xml:space="preserve"> using the </w:t>
      </w:r>
      <w:proofErr w:type="spellStart"/>
      <w:r w:rsidRPr="00CD6873">
        <w:rPr>
          <w:rFonts w:cs="Domine"/>
          <w:kern w:val="0"/>
          <w:szCs w:val="21"/>
        </w:rPr>
        <w:t>logrank</w:t>
      </w:r>
      <w:proofErr w:type="spellEnd"/>
      <w:r w:rsidRPr="00CD6873">
        <w:rPr>
          <w:rFonts w:cs="Domine"/>
          <w:kern w:val="0"/>
          <w:szCs w:val="21"/>
        </w:rPr>
        <w:t xml:space="preserve"> test </w:t>
      </w:r>
      <w:r w:rsidR="00BF7026" w:rsidRPr="00CD6873">
        <w:rPr>
          <w:rFonts w:cs="Domine"/>
          <w:kern w:val="0"/>
          <w:szCs w:val="21"/>
        </w:rPr>
        <w:t>[3]</w:t>
      </w:r>
      <w:r w:rsidRPr="00CD6873">
        <w:rPr>
          <w:rFonts w:cs="Domine"/>
          <w:kern w:val="0"/>
          <w:szCs w:val="21"/>
        </w:rPr>
        <w:t>.</w:t>
      </w:r>
    </w:p>
    <w:p w14:paraId="77C096AA" w14:textId="541B22C6" w:rsidR="00374DDB" w:rsidRPr="00CD6873" w:rsidRDefault="001C1130" w:rsidP="00374DDB">
      <w:pPr>
        <w:spacing w:line="480" w:lineRule="auto"/>
        <w:ind w:firstLineChars="100" w:firstLine="210"/>
        <w:rPr>
          <w:rFonts w:cs="Domine"/>
          <w:kern w:val="0"/>
          <w:szCs w:val="21"/>
        </w:rPr>
      </w:pPr>
      <w:r w:rsidRPr="00CD6873">
        <w:rPr>
          <w:rFonts w:cs="Domine"/>
          <w:kern w:val="0"/>
          <w:szCs w:val="21"/>
        </w:rPr>
        <w:t xml:space="preserve">The </w:t>
      </w:r>
      <w:proofErr w:type="spellStart"/>
      <w:r w:rsidRPr="00CD6873">
        <w:rPr>
          <w:rFonts w:cs="Domine"/>
          <w:kern w:val="0"/>
          <w:szCs w:val="21"/>
        </w:rPr>
        <w:t>l</w:t>
      </w:r>
      <w:r w:rsidR="00374DDB" w:rsidRPr="00CD6873">
        <w:rPr>
          <w:rFonts w:cs="Domine"/>
          <w:kern w:val="0"/>
          <w:szCs w:val="21"/>
        </w:rPr>
        <w:t>ogrank</w:t>
      </w:r>
      <w:proofErr w:type="spellEnd"/>
      <w:r w:rsidR="00374DDB" w:rsidRPr="00CD6873">
        <w:rPr>
          <w:rFonts w:cs="Domine"/>
          <w:kern w:val="0"/>
          <w:szCs w:val="21"/>
        </w:rPr>
        <w:t xml:space="preserve"> test revealed that </w:t>
      </w:r>
      <w:r w:rsidR="0064122F" w:rsidRPr="00CD6873">
        <w:rPr>
          <w:rFonts w:cs="Domine"/>
          <w:kern w:val="0"/>
          <w:szCs w:val="21"/>
        </w:rPr>
        <w:t xml:space="preserve">the </w:t>
      </w:r>
      <w:r w:rsidR="00374DDB" w:rsidRPr="00CD6873">
        <w:rPr>
          <w:rFonts w:cs="Domine"/>
          <w:kern w:val="0"/>
          <w:szCs w:val="21"/>
        </w:rPr>
        <w:t>condition of stimulation did not have a significant effect on the time to event curves for either Type-B problem</w:t>
      </w:r>
      <w:r w:rsidR="0064122F" w:rsidRPr="00CD6873">
        <w:rPr>
          <w:rFonts w:cs="Domine"/>
          <w:kern w:val="0"/>
          <w:szCs w:val="21"/>
        </w:rPr>
        <w:t>s</w:t>
      </w:r>
      <w:r w:rsidR="00374DDB" w:rsidRPr="00CD6873">
        <w:rPr>
          <w:rFonts w:cs="Domine"/>
          <w:kern w:val="0"/>
          <w:szCs w:val="21"/>
        </w:rPr>
        <w:t xml:space="preserve"> (p = 0.407) or Type-C problem</w:t>
      </w:r>
      <w:r w:rsidR="0064122F" w:rsidRPr="00CD6873">
        <w:rPr>
          <w:rFonts w:cs="Domine"/>
          <w:kern w:val="0"/>
          <w:szCs w:val="21"/>
        </w:rPr>
        <w:t>s</w:t>
      </w:r>
      <w:r w:rsidR="00374DDB" w:rsidRPr="00CD6873">
        <w:rPr>
          <w:rFonts w:cs="Domine"/>
          <w:kern w:val="0"/>
          <w:szCs w:val="21"/>
        </w:rPr>
        <w:t xml:space="preserve"> (p = 0.471) for the “bi-cephalic” group. Similar results were </w:t>
      </w:r>
      <w:r w:rsidR="00DF4336" w:rsidRPr="00CD6873">
        <w:rPr>
          <w:rFonts w:cs="Domine"/>
          <w:kern w:val="0"/>
          <w:szCs w:val="21"/>
        </w:rPr>
        <w:t xml:space="preserve">found </w:t>
      </w:r>
      <w:r w:rsidR="00374DDB" w:rsidRPr="00CD6873">
        <w:rPr>
          <w:rFonts w:cs="Domine"/>
          <w:kern w:val="0"/>
          <w:szCs w:val="21"/>
        </w:rPr>
        <w:t>for the “extra-cephalic” group (p = 0.939 for Type-B problem</w:t>
      </w:r>
      <w:r w:rsidR="0064122F" w:rsidRPr="00CD6873">
        <w:rPr>
          <w:rFonts w:cs="Domine"/>
          <w:kern w:val="0"/>
          <w:szCs w:val="21"/>
        </w:rPr>
        <w:t>s</w:t>
      </w:r>
      <w:r w:rsidR="00374DDB" w:rsidRPr="00CD6873">
        <w:rPr>
          <w:rFonts w:cs="Domine"/>
          <w:kern w:val="0"/>
          <w:szCs w:val="21"/>
        </w:rPr>
        <w:t xml:space="preserve"> and p = 0.785 for Type-C problem</w:t>
      </w:r>
      <w:r w:rsidR="0064122F" w:rsidRPr="00CD6873">
        <w:rPr>
          <w:rFonts w:cs="Domine"/>
          <w:kern w:val="0"/>
          <w:szCs w:val="21"/>
        </w:rPr>
        <w:t>s</w:t>
      </w:r>
      <w:r w:rsidR="00374DDB" w:rsidRPr="00CD6873">
        <w:rPr>
          <w:rFonts w:cs="Domine"/>
          <w:kern w:val="0"/>
          <w:szCs w:val="21"/>
        </w:rPr>
        <w:t>).</w:t>
      </w:r>
    </w:p>
    <w:p w14:paraId="3260DF16" w14:textId="77777777" w:rsidR="00374DDB" w:rsidRDefault="00374DDB" w:rsidP="00374DDB">
      <w:pPr>
        <w:spacing w:line="480" w:lineRule="auto"/>
        <w:rPr>
          <w:rFonts w:cs="Domine"/>
          <w:color w:val="000000"/>
          <w:kern w:val="0"/>
          <w:sz w:val="32"/>
          <w:szCs w:val="32"/>
        </w:rPr>
      </w:pPr>
    </w:p>
    <w:p w14:paraId="46A8A72E" w14:textId="77777777" w:rsidR="00C331B7" w:rsidRPr="00C331B7" w:rsidRDefault="00C331B7" w:rsidP="00374DDB">
      <w:pPr>
        <w:spacing w:line="480" w:lineRule="auto"/>
        <w:rPr>
          <w:rFonts w:cs="Domine"/>
          <w:color w:val="000000"/>
          <w:kern w:val="0"/>
          <w:sz w:val="32"/>
          <w:szCs w:val="32"/>
        </w:rPr>
      </w:pPr>
    </w:p>
    <w:p w14:paraId="26AF4B72" w14:textId="379A478F" w:rsidR="00374DDB" w:rsidRPr="00CD6873" w:rsidRDefault="00374DDB" w:rsidP="003C3832">
      <w:pPr>
        <w:spacing w:line="480" w:lineRule="auto"/>
        <w:rPr>
          <w:rFonts w:cs="Domine"/>
          <w:kern w:val="0"/>
          <w:szCs w:val="21"/>
        </w:rPr>
      </w:pPr>
      <w:r w:rsidRPr="00CD6873">
        <w:rPr>
          <w:rFonts w:cs="Domine"/>
          <w:b/>
          <w:kern w:val="0"/>
          <w:sz w:val="32"/>
          <w:szCs w:val="32"/>
        </w:rPr>
        <w:t xml:space="preserve">3. Additional analyses </w:t>
      </w:r>
      <w:r w:rsidR="00655A7B" w:rsidRPr="00CD6873">
        <w:rPr>
          <w:rFonts w:cs="Domine"/>
          <w:b/>
          <w:kern w:val="0"/>
          <w:sz w:val="32"/>
          <w:szCs w:val="32"/>
        </w:rPr>
        <w:t xml:space="preserve">of </w:t>
      </w:r>
      <w:r w:rsidRPr="00CD6873">
        <w:rPr>
          <w:rFonts w:cs="Domine"/>
          <w:b/>
          <w:kern w:val="0"/>
          <w:sz w:val="32"/>
          <w:szCs w:val="32"/>
        </w:rPr>
        <w:t xml:space="preserve">the effect of </w:t>
      </w:r>
      <w:r w:rsidR="00655A7B" w:rsidRPr="00CD6873">
        <w:rPr>
          <w:rFonts w:cs="Domine"/>
          <w:b/>
          <w:kern w:val="0"/>
          <w:sz w:val="32"/>
          <w:szCs w:val="32"/>
        </w:rPr>
        <w:t xml:space="preserve">other </w:t>
      </w:r>
      <w:r w:rsidRPr="00CD6873">
        <w:rPr>
          <w:rFonts w:cs="Domine"/>
          <w:b/>
          <w:kern w:val="0"/>
          <w:sz w:val="32"/>
          <w:szCs w:val="32"/>
        </w:rPr>
        <w:t xml:space="preserve">factors on insight </w:t>
      </w:r>
    </w:p>
    <w:p w14:paraId="340294C6" w14:textId="157A0969" w:rsidR="007C5C17" w:rsidRPr="00CD6873" w:rsidRDefault="00374DDB" w:rsidP="004607D3">
      <w:pPr>
        <w:spacing w:line="480" w:lineRule="auto"/>
        <w:ind w:firstLineChars="100" w:firstLine="210"/>
      </w:pPr>
      <w:r w:rsidRPr="00CD6873">
        <w:t xml:space="preserve">There is a possibility that factors other than </w:t>
      </w:r>
      <w:proofErr w:type="spellStart"/>
      <w:r w:rsidRPr="00CD6873">
        <w:t>tDCS</w:t>
      </w:r>
      <w:proofErr w:type="spellEnd"/>
      <w:r w:rsidRPr="00CD6873">
        <w:t xml:space="preserve"> affected performance on insight problems. Thus, we conducted several </w:t>
      </w:r>
      <w:r w:rsidR="007C5C17" w:rsidRPr="00CD6873">
        <w:t>additional analyses.</w:t>
      </w:r>
    </w:p>
    <w:p w14:paraId="50BA2BC5" w14:textId="72852B74" w:rsidR="007C5C17" w:rsidRPr="00CD6873" w:rsidRDefault="007C5C17" w:rsidP="007C5C17">
      <w:pPr>
        <w:spacing w:line="480" w:lineRule="auto"/>
        <w:rPr>
          <w:rFonts w:cs="Domine"/>
          <w:b/>
          <w:kern w:val="0"/>
          <w:sz w:val="28"/>
          <w:szCs w:val="28"/>
        </w:rPr>
      </w:pPr>
      <w:r w:rsidRPr="00CD6873">
        <w:rPr>
          <w:rFonts w:cs="Domine" w:hint="eastAsia"/>
          <w:b/>
          <w:kern w:val="0"/>
          <w:sz w:val="28"/>
          <w:szCs w:val="28"/>
        </w:rPr>
        <w:lastRenderedPageBreak/>
        <w:t>3.1. Effect of subject</w:t>
      </w:r>
      <w:r w:rsidRPr="00CD6873">
        <w:rPr>
          <w:rFonts w:cs="Domine"/>
          <w:b/>
          <w:kern w:val="0"/>
          <w:sz w:val="28"/>
          <w:szCs w:val="28"/>
        </w:rPr>
        <w:t>’s ability on performance</w:t>
      </w:r>
    </w:p>
    <w:p w14:paraId="7F0D4AEA" w14:textId="70CB4BE3" w:rsidR="00086469" w:rsidRPr="004D3130" w:rsidRDefault="00086469" w:rsidP="00086469">
      <w:pPr>
        <w:spacing w:line="480" w:lineRule="auto"/>
        <w:rPr>
          <w:rFonts w:cs="Domine"/>
          <w:color w:val="000000"/>
          <w:kern w:val="0"/>
          <w:szCs w:val="21"/>
        </w:rPr>
      </w:pPr>
      <w:r w:rsidRPr="004D3130">
        <w:rPr>
          <w:rFonts w:cs="Domine"/>
          <w:color w:val="000000"/>
          <w:kern w:val="0"/>
          <w:szCs w:val="21"/>
        </w:rPr>
        <w:t xml:space="preserve">   It is well</w:t>
      </w:r>
      <w:r w:rsidR="00B8139A" w:rsidRPr="004D3130">
        <w:rPr>
          <w:rFonts w:cs="Domine"/>
          <w:color w:val="000000"/>
          <w:kern w:val="0"/>
          <w:szCs w:val="21"/>
        </w:rPr>
        <w:t xml:space="preserve"> </w:t>
      </w:r>
      <w:r w:rsidRPr="004D3130">
        <w:rPr>
          <w:rFonts w:cs="Domine"/>
          <w:color w:val="000000"/>
          <w:kern w:val="0"/>
          <w:szCs w:val="21"/>
        </w:rPr>
        <w:t xml:space="preserve">known that </w:t>
      </w:r>
      <w:r w:rsidR="001A3539" w:rsidRPr="004D3130">
        <w:rPr>
          <w:rFonts w:cs="Domine"/>
          <w:color w:val="000000"/>
          <w:kern w:val="0"/>
          <w:szCs w:val="21"/>
        </w:rPr>
        <w:t xml:space="preserve">the effects of </w:t>
      </w:r>
      <w:proofErr w:type="spellStart"/>
      <w:r w:rsidRPr="004D3130">
        <w:rPr>
          <w:rFonts w:cs="Domine"/>
          <w:color w:val="000000"/>
          <w:kern w:val="0"/>
          <w:szCs w:val="21"/>
        </w:rPr>
        <w:t>tDCS</w:t>
      </w:r>
      <w:proofErr w:type="spellEnd"/>
      <w:r w:rsidRPr="004D3130">
        <w:rPr>
          <w:rFonts w:cs="Domine"/>
          <w:color w:val="000000"/>
          <w:kern w:val="0"/>
          <w:szCs w:val="21"/>
        </w:rPr>
        <w:t xml:space="preserve"> depend on</w:t>
      </w:r>
      <w:r w:rsidR="00B8139A" w:rsidRPr="004D3130">
        <w:rPr>
          <w:rFonts w:cs="Domine"/>
          <w:color w:val="000000"/>
          <w:kern w:val="0"/>
          <w:szCs w:val="21"/>
        </w:rPr>
        <w:t xml:space="preserve"> a</w:t>
      </w:r>
      <w:r w:rsidRPr="004D3130">
        <w:rPr>
          <w:rFonts w:cs="Domine"/>
          <w:color w:val="000000"/>
          <w:kern w:val="0"/>
          <w:szCs w:val="21"/>
        </w:rPr>
        <w:t xml:space="preserve"> subject’s ability</w:t>
      </w:r>
      <w:r w:rsidR="00B8139A" w:rsidRPr="004D3130">
        <w:rPr>
          <w:rFonts w:cs="Domine"/>
          <w:color w:val="000000"/>
          <w:kern w:val="0"/>
          <w:szCs w:val="21"/>
        </w:rPr>
        <w:t>. Previous studies of motor contro</w:t>
      </w:r>
      <w:r w:rsidR="00B8139A" w:rsidRPr="004D3130">
        <w:rPr>
          <w:rFonts w:cs="Domine"/>
          <w:kern w:val="0"/>
          <w:szCs w:val="21"/>
        </w:rPr>
        <w:t xml:space="preserve">l </w:t>
      </w:r>
      <w:r w:rsidR="00B8139A" w:rsidRPr="00CD6873">
        <w:rPr>
          <w:rFonts w:cs="Domine"/>
          <w:kern w:val="0"/>
          <w:szCs w:val="21"/>
        </w:rPr>
        <w:t>[</w:t>
      </w:r>
      <w:r w:rsidR="00790584" w:rsidRPr="00CD6873">
        <w:rPr>
          <w:rFonts w:cs="Domine"/>
          <w:kern w:val="0"/>
          <w:szCs w:val="21"/>
        </w:rPr>
        <w:t>4</w:t>
      </w:r>
      <w:r w:rsidR="00B8139A" w:rsidRPr="00CD6873">
        <w:rPr>
          <w:rFonts w:cs="Domine"/>
          <w:kern w:val="0"/>
          <w:szCs w:val="21"/>
        </w:rPr>
        <w:t>] and visual cognition [</w:t>
      </w:r>
      <w:r w:rsidR="00790584" w:rsidRPr="00CD6873">
        <w:rPr>
          <w:rFonts w:cs="Domine"/>
          <w:kern w:val="0"/>
          <w:szCs w:val="21"/>
        </w:rPr>
        <w:t>5</w:t>
      </w:r>
      <w:r w:rsidR="00B8139A" w:rsidRPr="00CD6873">
        <w:rPr>
          <w:rFonts w:cs="Domine"/>
          <w:kern w:val="0"/>
          <w:szCs w:val="21"/>
        </w:rPr>
        <w:t>]</w:t>
      </w:r>
      <w:r w:rsidR="00B8139A" w:rsidRPr="004D3130">
        <w:rPr>
          <w:rFonts w:cs="Domine"/>
          <w:kern w:val="0"/>
          <w:szCs w:val="21"/>
        </w:rPr>
        <w:t xml:space="preserve"> reported that </w:t>
      </w:r>
      <w:r w:rsidRPr="004D3130">
        <w:rPr>
          <w:rFonts w:cs="Domine"/>
          <w:color w:val="000000"/>
          <w:kern w:val="0"/>
          <w:szCs w:val="21"/>
        </w:rPr>
        <w:t xml:space="preserve">low performers benefitted from stimulation, whereas high performers did not, </w:t>
      </w:r>
      <w:r w:rsidR="00617EDE" w:rsidRPr="004D3130">
        <w:rPr>
          <w:rFonts w:cs="Domine"/>
          <w:color w:val="000000"/>
          <w:kern w:val="0"/>
          <w:szCs w:val="21"/>
        </w:rPr>
        <w:t xml:space="preserve">most likely </w:t>
      </w:r>
      <w:r w:rsidRPr="004D3130">
        <w:rPr>
          <w:rFonts w:cs="Domine"/>
          <w:color w:val="000000"/>
          <w:kern w:val="0"/>
          <w:szCs w:val="21"/>
        </w:rPr>
        <w:t xml:space="preserve">due to a </w:t>
      </w:r>
      <w:r w:rsidR="00B8139A" w:rsidRPr="004D3130">
        <w:rPr>
          <w:rFonts w:cs="Domine"/>
          <w:color w:val="000000"/>
          <w:kern w:val="0"/>
          <w:szCs w:val="21"/>
        </w:rPr>
        <w:t>“</w:t>
      </w:r>
      <w:r w:rsidRPr="004D3130">
        <w:rPr>
          <w:rFonts w:cs="Domine"/>
          <w:color w:val="000000"/>
          <w:kern w:val="0"/>
          <w:szCs w:val="21"/>
        </w:rPr>
        <w:t>ceiling effect</w:t>
      </w:r>
      <w:r w:rsidR="00B8139A" w:rsidRPr="004D3130">
        <w:rPr>
          <w:rFonts w:cs="Domine"/>
          <w:color w:val="000000"/>
          <w:kern w:val="0"/>
          <w:szCs w:val="21"/>
        </w:rPr>
        <w:t>”</w:t>
      </w:r>
      <w:r w:rsidRPr="004D3130">
        <w:rPr>
          <w:rFonts w:cs="Domine"/>
          <w:color w:val="000000"/>
          <w:kern w:val="0"/>
          <w:szCs w:val="21"/>
        </w:rPr>
        <w:t xml:space="preserve">. </w:t>
      </w:r>
      <w:r w:rsidR="00FD7537" w:rsidRPr="004D3130">
        <w:rPr>
          <w:rFonts w:cs="Domine"/>
          <w:color w:val="000000"/>
          <w:kern w:val="0"/>
          <w:szCs w:val="21"/>
        </w:rPr>
        <w:t>In the current study</w:t>
      </w:r>
      <w:r w:rsidRPr="004D3130">
        <w:rPr>
          <w:rFonts w:cs="Domine"/>
          <w:color w:val="000000"/>
          <w:kern w:val="0"/>
          <w:szCs w:val="21"/>
        </w:rPr>
        <w:t xml:space="preserve">, we investigated whether </w:t>
      </w:r>
      <w:r w:rsidR="00FD7537" w:rsidRPr="004D3130">
        <w:rPr>
          <w:rFonts w:cs="Domine"/>
          <w:color w:val="000000"/>
          <w:kern w:val="0"/>
          <w:szCs w:val="21"/>
        </w:rPr>
        <w:t xml:space="preserve">the effects of </w:t>
      </w:r>
      <w:proofErr w:type="spellStart"/>
      <w:r w:rsidRPr="004D3130">
        <w:rPr>
          <w:rFonts w:cs="Domine"/>
          <w:color w:val="000000"/>
          <w:kern w:val="0"/>
          <w:szCs w:val="21"/>
        </w:rPr>
        <w:t>tDCS</w:t>
      </w:r>
      <w:proofErr w:type="spellEnd"/>
      <w:r w:rsidRPr="004D3130">
        <w:rPr>
          <w:rFonts w:cs="Domine"/>
          <w:color w:val="000000"/>
          <w:kern w:val="0"/>
          <w:szCs w:val="21"/>
        </w:rPr>
        <w:t xml:space="preserve"> depended on pre-learning </w:t>
      </w:r>
      <w:r w:rsidR="00221396">
        <w:rPr>
          <w:rFonts w:cs="Domine"/>
          <w:color w:val="000000"/>
          <w:kern w:val="0"/>
          <w:szCs w:val="21"/>
        </w:rPr>
        <w:t xml:space="preserve">(i.e., natural) </w:t>
      </w:r>
      <w:r w:rsidRPr="004D3130">
        <w:rPr>
          <w:rFonts w:cs="Domine"/>
          <w:color w:val="000000"/>
          <w:kern w:val="0"/>
          <w:szCs w:val="21"/>
        </w:rPr>
        <w:t>ability. Moreover, we investigated whether</w:t>
      </w:r>
      <w:r w:rsidR="0054761F" w:rsidRPr="004D3130">
        <w:rPr>
          <w:rFonts w:cs="Domine"/>
          <w:color w:val="000000"/>
          <w:kern w:val="0"/>
          <w:szCs w:val="21"/>
        </w:rPr>
        <w:t xml:space="preserve"> the effects of</w:t>
      </w:r>
      <w:r w:rsidRPr="004D3130">
        <w:rPr>
          <w:rFonts w:cs="Domine"/>
          <w:color w:val="000000"/>
          <w:kern w:val="0"/>
          <w:szCs w:val="21"/>
        </w:rPr>
        <w:t xml:space="preserve"> </w:t>
      </w:r>
      <w:proofErr w:type="spellStart"/>
      <w:r w:rsidRPr="004D3130">
        <w:rPr>
          <w:rFonts w:cs="Domine"/>
          <w:color w:val="000000"/>
          <w:kern w:val="0"/>
          <w:szCs w:val="21"/>
        </w:rPr>
        <w:t>tDCS</w:t>
      </w:r>
      <w:proofErr w:type="spellEnd"/>
      <w:r w:rsidRPr="004D3130">
        <w:rPr>
          <w:rFonts w:cs="Domine"/>
          <w:color w:val="000000"/>
          <w:kern w:val="0"/>
          <w:szCs w:val="21"/>
        </w:rPr>
        <w:t xml:space="preserve"> depended on (1) post-learning ability and (2) amount of learning. These analyses were </w:t>
      </w:r>
      <w:r w:rsidR="00B02CEA" w:rsidRPr="004D3130">
        <w:rPr>
          <w:rFonts w:cs="Domine"/>
          <w:color w:val="000000"/>
          <w:kern w:val="0"/>
          <w:szCs w:val="21"/>
        </w:rPr>
        <w:t xml:space="preserve">conducted </w:t>
      </w:r>
      <w:r w:rsidRPr="004D3130">
        <w:rPr>
          <w:rFonts w:cs="Domine"/>
          <w:color w:val="000000"/>
          <w:kern w:val="0"/>
          <w:szCs w:val="21"/>
        </w:rPr>
        <w:t xml:space="preserve">only for the matchstick arithmetic task, because </w:t>
      </w:r>
      <w:r w:rsidR="00F01736" w:rsidRPr="004D3130">
        <w:rPr>
          <w:rFonts w:cs="Domine"/>
          <w:color w:val="000000"/>
          <w:kern w:val="0"/>
          <w:szCs w:val="21"/>
        </w:rPr>
        <w:t xml:space="preserve">the </w:t>
      </w:r>
      <w:r w:rsidRPr="004D3130">
        <w:rPr>
          <w:rFonts w:cs="Domine"/>
          <w:color w:val="000000"/>
          <w:kern w:val="0"/>
          <w:szCs w:val="21"/>
        </w:rPr>
        <w:t>learning session did not include the RAT task.</w:t>
      </w:r>
    </w:p>
    <w:p w14:paraId="3BFFDDEE" w14:textId="2A9AABA1" w:rsidR="00086469" w:rsidRPr="004D3130" w:rsidRDefault="00086469" w:rsidP="00086469">
      <w:pPr>
        <w:spacing w:line="480" w:lineRule="auto"/>
        <w:ind w:firstLine="210"/>
        <w:rPr>
          <w:rFonts w:cs="Domine"/>
          <w:color w:val="000000"/>
          <w:kern w:val="0"/>
          <w:szCs w:val="21"/>
        </w:rPr>
      </w:pPr>
      <w:r w:rsidRPr="004D3130">
        <w:rPr>
          <w:rFonts w:cs="Domine"/>
          <w:color w:val="000000"/>
          <w:kern w:val="0"/>
          <w:szCs w:val="21"/>
        </w:rPr>
        <w:t xml:space="preserve"> In these analyses, we adopted the proportion of correct answers as a performance measure</w:t>
      </w:r>
      <w:r w:rsidR="00A04491">
        <w:rPr>
          <w:rFonts w:cs="Domine" w:hint="eastAsia"/>
          <w:color w:val="000000"/>
          <w:kern w:val="0"/>
          <w:szCs w:val="21"/>
        </w:rPr>
        <w:t>.</w:t>
      </w:r>
      <w:r w:rsidR="00A04491">
        <w:rPr>
          <w:rFonts w:cs="Domine"/>
          <w:color w:val="000000"/>
          <w:kern w:val="0"/>
          <w:szCs w:val="21"/>
        </w:rPr>
        <w:t xml:space="preserve"> </w:t>
      </w:r>
      <w:r w:rsidR="00BB3893" w:rsidRPr="004D3130">
        <w:rPr>
          <w:rFonts w:cs="Domine"/>
          <w:color w:val="000000"/>
          <w:kern w:val="0"/>
          <w:szCs w:val="21"/>
        </w:rPr>
        <w:t>Importantly, in</w:t>
      </w:r>
      <w:r w:rsidRPr="004D3130">
        <w:rPr>
          <w:rFonts w:cs="Domine"/>
          <w:color w:val="000000"/>
          <w:kern w:val="0"/>
          <w:szCs w:val="21"/>
        </w:rPr>
        <w:t xml:space="preserve"> the learning session, the number of correct answers </w:t>
      </w:r>
      <w:r w:rsidR="00D64C21" w:rsidRPr="004D3130">
        <w:rPr>
          <w:rFonts w:cs="Domine"/>
          <w:color w:val="000000"/>
          <w:kern w:val="0"/>
          <w:szCs w:val="21"/>
        </w:rPr>
        <w:t xml:space="preserve">was </w:t>
      </w:r>
      <w:r w:rsidRPr="004D3130">
        <w:rPr>
          <w:rFonts w:cs="Domine"/>
          <w:color w:val="000000"/>
          <w:kern w:val="0"/>
          <w:szCs w:val="21"/>
        </w:rPr>
        <w:t>positively correlated with the proportion of correct answers. We used performance in the first and last blocks of the learning session as measures of pre- and post-learning abilit</w:t>
      </w:r>
      <w:r w:rsidR="008E6AED">
        <w:rPr>
          <w:rFonts w:cs="Domine"/>
          <w:color w:val="000000"/>
          <w:kern w:val="0"/>
          <w:szCs w:val="21"/>
        </w:rPr>
        <w:t>y</w:t>
      </w:r>
      <w:r w:rsidRPr="004D3130">
        <w:rPr>
          <w:rFonts w:cs="Domine"/>
          <w:color w:val="000000"/>
          <w:kern w:val="0"/>
          <w:szCs w:val="21"/>
        </w:rPr>
        <w:t xml:space="preserve">. Moreover, we </w:t>
      </w:r>
      <w:r w:rsidR="008E6AED">
        <w:rPr>
          <w:rFonts w:cs="Domine"/>
          <w:color w:val="000000"/>
          <w:kern w:val="0"/>
          <w:szCs w:val="21"/>
        </w:rPr>
        <w:t>used</w:t>
      </w:r>
      <w:r w:rsidR="008E6AED" w:rsidRPr="004D3130">
        <w:rPr>
          <w:rFonts w:cs="Domine"/>
          <w:color w:val="000000"/>
          <w:kern w:val="0"/>
          <w:szCs w:val="21"/>
        </w:rPr>
        <w:t xml:space="preserve"> </w:t>
      </w:r>
      <w:r w:rsidRPr="004D3130">
        <w:rPr>
          <w:rFonts w:cs="Domine"/>
          <w:color w:val="000000"/>
          <w:kern w:val="0"/>
          <w:szCs w:val="21"/>
        </w:rPr>
        <w:t xml:space="preserve">the difference </w:t>
      </w:r>
      <w:r w:rsidR="00427273" w:rsidRPr="004D3130">
        <w:rPr>
          <w:rFonts w:cs="Domine"/>
          <w:color w:val="000000"/>
          <w:kern w:val="0"/>
          <w:szCs w:val="21"/>
        </w:rPr>
        <w:t xml:space="preserve">in </w:t>
      </w:r>
      <w:r w:rsidRPr="004D3130">
        <w:rPr>
          <w:rFonts w:cs="Domine"/>
          <w:color w:val="000000"/>
          <w:kern w:val="0"/>
          <w:szCs w:val="21"/>
        </w:rPr>
        <w:t xml:space="preserve">performance between the first and last blocks of the learning session as a measure of the amount of learning. For each montage group, subjects were divided into three </w:t>
      </w:r>
      <w:r w:rsidR="0040222F" w:rsidRPr="004D3130">
        <w:rPr>
          <w:rFonts w:cs="Domine"/>
          <w:color w:val="000000"/>
          <w:kern w:val="0"/>
          <w:szCs w:val="21"/>
        </w:rPr>
        <w:t xml:space="preserve">groups </w:t>
      </w:r>
      <w:r w:rsidRPr="004D3130">
        <w:rPr>
          <w:rFonts w:cs="Domine"/>
          <w:color w:val="000000"/>
          <w:kern w:val="0"/>
          <w:szCs w:val="21"/>
        </w:rPr>
        <w:t xml:space="preserve">according to </w:t>
      </w:r>
      <w:proofErr w:type="spellStart"/>
      <w:r w:rsidRPr="004D3130">
        <w:rPr>
          <w:rFonts w:cs="Domine"/>
          <w:color w:val="000000"/>
          <w:kern w:val="0"/>
          <w:szCs w:val="21"/>
        </w:rPr>
        <w:t>tDCS</w:t>
      </w:r>
      <w:proofErr w:type="spellEnd"/>
      <w:r w:rsidRPr="004D3130">
        <w:rPr>
          <w:rFonts w:cs="Domine"/>
          <w:color w:val="000000"/>
          <w:kern w:val="0"/>
          <w:szCs w:val="21"/>
        </w:rPr>
        <w:t xml:space="preserve"> effects (negative, no, and positive effects; see </w:t>
      </w:r>
      <w:r w:rsidR="008E6AED">
        <w:rPr>
          <w:rFonts w:cs="Domine"/>
          <w:color w:val="000000"/>
          <w:kern w:val="0"/>
          <w:szCs w:val="21"/>
        </w:rPr>
        <w:t xml:space="preserve">the </w:t>
      </w:r>
      <w:r w:rsidRPr="004D3130">
        <w:rPr>
          <w:rFonts w:cs="Domine"/>
          <w:color w:val="000000"/>
          <w:kern w:val="0"/>
          <w:szCs w:val="21"/>
        </w:rPr>
        <w:t xml:space="preserve">Results section). </w:t>
      </w:r>
      <w:r w:rsidR="0040222F" w:rsidRPr="004D3130">
        <w:rPr>
          <w:rFonts w:cs="Domine"/>
          <w:color w:val="000000"/>
          <w:kern w:val="0"/>
          <w:szCs w:val="21"/>
        </w:rPr>
        <w:t>T</w:t>
      </w:r>
      <w:r w:rsidRPr="004D3130">
        <w:rPr>
          <w:rFonts w:cs="Domine"/>
          <w:color w:val="000000"/>
          <w:kern w:val="0"/>
          <w:szCs w:val="21"/>
        </w:rPr>
        <w:t>he pre-/post</w:t>
      </w:r>
      <w:r w:rsidR="00383862">
        <w:rPr>
          <w:rFonts w:cs="Domine"/>
          <w:color w:val="000000"/>
          <w:kern w:val="0"/>
          <w:szCs w:val="21"/>
        </w:rPr>
        <w:t>-</w:t>
      </w:r>
      <w:r w:rsidRPr="004D3130">
        <w:rPr>
          <w:rFonts w:cs="Domine"/>
          <w:color w:val="000000"/>
          <w:kern w:val="0"/>
          <w:szCs w:val="21"/>
        </w:rPr>
        <w:t>learning abilit</w:t>
      </w:r>
      <w:r w:rsidR="008E6AED">
        <w:rPr>
          <w:rFonts w:cs="Domine"/>
          <w:color w:val="000000"/>
          <w:kern w:val="0"/>
          <w:szCs w:val="21"/>
        </w:rPr>
        <w:t>y levels</w:t>
      </w:r>
      <w:r w:rsidRPr="004D3130">
        <w:rPr>
          <w:rFonts w:cs="Domine"/>
          <w:color w:val="000000"/>
          <w:kern w:val="0"/>
          <w:szCs w:val="21"/>
        </w:rPr>
        <w:t xml:space="preserve"> and amount of learning were </w:t>
      </w:r>
      <w:r w:rsidR="0040222F" w:rsidRPr="004D3130">
        <w:rPr>
          <w:rFonts w:cs="Domine"/>
          <w:color w:val="000000"/>
          <w:kern w:val="0"/>
          <w:szCs w:val="21"/>
        </w:rPr>
        <w:t xml:space="preserve">then </w:t>
      </w:r>
      <w:r w:rsidRPr="004D3130">
        <w:rPr>
          <w:rFonts w:cs="Domine"/>
          <w:color w:val="000000"/>
          <w:kern w:val="0"/>
          <w:szCs w:val="21"/>
        </w:rPr>
        <w:t xml:space="preserve">compared across </w:t>
      </w:r>
      <w:proofErr w:type="spellStart"/>
      <w:r w:rsidRPr="004D3130">
        <w:rPr>
          <w:rFonts w:cs="Domine"/>
          <w:color w:val="000000"/>
          <w:kern w:val="0"/>
          <w:szCs w:val="21"/>
        </w:rPr>
        <w:t>tDCS</w:t>
      </w:r>
      <w:proofErr w:type="spellEnd"/>
      <w:r w:rsidRPr="004D3130">
        <w:rPr>
          <w:rFonts w:cs="Domine"/>
          <w:color w:val="000000"/>
          <w:kern w:val="0"/>
          <w:szCs w:val="21"/>
        </w:rPr>
        <w:t xml:space="preserve"> effect</w:t>
      </w:r>
      <w:r w:rsidR="00C91798">
        <w:rPr>
          <w:rFonts w:cs="Domine"/>
          <w:color w:val="000000"/>
          <w:kern w:val="0"/>
          <w:szCs w:val="21"/>
        </w:rPr>
        <w:t xml:space="preserve"> groups</w:t>
      </w:r>
      <w:r w:rsidRPr="004D3130">
        <w:rPr>
          <w:rFonts w:cs="Domine"/>
          <w:color w:val="000000"/>
          <w:kern w:val="0"/>
          <w:szCs w:val="21"/>
        </w:rPr>
        <w:t xml:space="preserve"> (</w:t>
      </w:r>
      <w:r w:rsidR="00EA697A" w:rsidRPr="00EA697A">
        <w:rPr>
          <w:rFonts w:cs="Domine"/>
          <w:kern w:val="0"/>
          <w:szCs w:val="21"/>
        </w:rPr>
        <w:t>S4 Fig</w:t>
      </w:r>
      <w:r w:rsidRPr="004D3130">
        <w:rPr>
          <w:rFonts w:cs="Domine"/>
          <w:color w:val="000000"/>
          <w:kern w:val="0"/>
          <w:szCs w:val="21"/>
        </w:rPr>
        <w:t xml:space="preserve">). </w:t>
      </w:r>
    </w:p>
    <w:p w14:paraId="61F1D517" w14:textId="77777777" w:rsidR="00086469" w:rsidRPr="004D3130" w:rsidRDefault="00086469" w:rsidP="00086469">
      <w:pPr>
        <w:spacing w:line="480" w:lineRule="auto"/>
        <w:ind w:firstLine="210"/>
        <w:rPr>
          <w:rFonts w:cs="Domine"/>
          <w:color w:val="000000"/>
          <w:kern w:val="0"/>
          <w:szCs w:val="21"/>
        </w:rPr>
      </w:pPr>
    </w:p>
    <w:p w14:paraId="1588C733" w14:textId="77777777" w:rsidR="00FD00AB" w:rsidRPr="004D3130" w:rsidRDefault="00FD00AB" w:rsidP="00086469">
      <w:pPr>
        <w:spacing w:line="480" w:lineRule="auto"/>
        <w:ind w:firstLine="210"/>
        <w:rPr>
          <w:rFonts w:cs="Domine"/>
          <w:color w:val="000000"/>
          <w:kern w:val="0"/>
          <w:szCs w:val="21"/>
        </w:rPr>
      </w:pPr>
    </w:p>
    <w:p w14:paraId="35B7AB91" w14:textId="77777777" w:rsidR="00D268BF" w:rsidRDefault="00D268BF" w:rsidP="00086469">
      <w:pPr>
        <w:spacing w:line="480" w:lineRule="auto"/>
        <w:ind w:firstLine="210"/>
        <w:rPr>
          <w:rFonts w:ascii="Domine" w:hAnsi="Domine" w:cs="Domine" w:hint="eastAsia"/>
          <w:color w:val="000000"/>
          <w:kern w:val="0"/>
          <w:szCs w:val="21"/>
        </w:rPr>
      </w:pPr>
      <w:r>
        <w:rPr>
          <w:rFonts w:ascii="Domine" w:hAnsi="Domine" w:cs="Domine" w:hint="eastAsia"/>
          <w:noProof/>
          <w:color w:val="000000"/>
          <w:kern w:val="0"/>
          <w:szCs w:val="21"/>
        </w:rPr>
        <w:lastRenderedPageBreak/>
        <w:drawing>
          <wp:inline distT="0" distB="0" distL="0" distR="0" wp14:anchorId="4B1E72A0" wp14:editId="162D449A">
            <wp:extent cx="5391150" cy="2609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p w14:paraId="51C1FB31" w14:textId="53070D78" w:rsidR="00FD00AB" w:rsidRPr="004D3130" w:rsidRDefault="00D268BF" w:rsidP="00D268BF">
      <w:pPr>
        <w:spacing w:line="480" w:lineRule="auto"/>
        <w:ind w:firstLine="210"/>
        <w:rPr>
          <w:rFonts w:ascii="Domine" w:hAnsi="Domine" w:cs="Domine" w:hint="eastAsia"/>
          <w:color w:val="000000"/>
          <w:kern w:val="0"/>
          <w:szCs w:val="21"/>
        </w:rPr>
      </w:pPr>
      <w:r>
        <w:rPr>
          <w:rFonts w:ascii="Domine" w:hAnsi="Domine" w:cs="Domine" w:hint="eastAsia"/>
          <w:noProof/>
          <w:color w:val="000000"/>
          <w:kern w:val="0"/>
          <w:szCs w:val="21"/>
        </w:rPr>
        <w:drawing>
          <wp:inline distT="0" distB="0" distL="0" distR="0" wp14:anchorId="26FDCF05" wp14:editId="6F43016F">
            <wp:extent cx="5391150" cy="2609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p w14:paraId="19CE63F0" w14:textId="4B10C4A5" w:rsidR="00086469" w:rsidRPr="004D3130" w:rsidRDefault="00AE7029" w:rsidP="00086469">
      <w:pPr>
        <w:spacing w:line="480" w:lineRule="auto"/>
        <w:rPr>
          <w:rFonts w:ascii="Domine" w:hAnsi="Domine" w:cs="Domine" w:hint="eastAsia"/>
          <w:color w:val="000000"/>
          <w:kern w:val="0"/>
          <w:szCs w:val="21"/>
        </w:rPr>
      </w:pPr>
      <w:r w:rsidRPr="00EA697A">
        <w:rPr>
          <w:rFonts w:cs="Domine"/>
          <w:b/>
          <w:kern w:val="0"/>
          <w:szCs w:val="21"/>
        </w:rPr>
        <w:t>S4 Fig.</w:t>
      </w:r>
      <w:r>
        <w:rPr>
          <w:rFonts w:cs="Domine"/>
          <w:b/>
          <w:color w:val="FF0000"/>
          <w:kern w:val="0"/>
          <w:szCs w:val="21"/>
        </w:rPr>
        <w:t xml:space="preserve"> </w:t>
      </w:r>
      <w:r w:rsidR="00086469" w:rsidRPr="004D3130">
        <w:rPr>
          <w:rFonts w:cs="Domine"/>
          <w:b/>
          <w:color w:val="000000"/>
          <w:kern w:val="0"/>
          <w:szCs w:val="21"/>
        </w:rPr>
        <w:t xml:space="preserve">Matchstick arithmetic task performance during the learning session </w:t>
      </w:r>
      <w:r w:rsidR="004229A6" w:rsidRPr="004D3130">
        <w:rPr>
          <w:rFonts w:cs="Domine"/>
          <w:b/>
          <w:color w:val="000000"/>
          <w:kern w:val="0"/>
          <w:szCs w:val="21"/>
        </w:rPr>
        <w:t xml:space="preserve">was </w:t>
      </w:r>
      <w:r w:rsidR="00086469" w:rsidRPr="004D3130">
        <w:rPr>
          <w:rFonts w:cs="Domine"/>
          <w:b/>
          <w:color w:val="000000"/>
          <w:kern w:val="0"/>
          <w:szCs w:val="21"/>
        </w:rPr>
        <w:t xml:space="preserve">compared </w:t>
      </w:r>
      <w:r w:rsidR="001F5E35">
        <w:rPr>
          <w:rFonts w:cs="Domine"/>
          <w:b/>
          <w:color w:val="000000"/>
          <w:kern w:val="0"/>
          <w:szCs w:val="21"/>
        </w:rPr>
        <w:t>between</w:t>
      </w:r>
      <w:r w:rsidR="001F5E35" w:rsidRPr="004D3130">
        <w:rPr>
          <w:rFonts w:cs="Domine"/>
          <w:b/>
          <w:color w:val="000000"/>
          <w:kern w:val="0"/>
          <w:szCs w:val="21"/>
        </w:rPr>
        <w:t xml:space="preserve"> </w:t>
      </w:r>
      <w:r w:rsidR="00086469" w:rsidRPr="004D3130">
        <w:rPr>
          <w:rFonts w:cs="Domine"/>
          <w:b/>
          <w:color w:val="000000"/>
          <w:kern w:val="0"/>
          <w:szCs w:val="21"/>
        </w:rPr>
        <w:t xml:space="preserve">negative, no and positive </w:t>
      </w:r>
      <w:proofErr w:type="spellStart"/>
      <w:r w:rsidR="00086469" w:rsidRPr="004D3130">
        <w:rPr>
          <w:rFonts w:cs="Domine"/>
          <w:b/>
          <w:color w:val="000000"/>
          <w:kern w:val="0"/>
          <w:szCs w:val="21"/>
        </w:rPr>
        <w:t>tDCS</w:t>
      </w:r>
      <w:proofErr w:type="spellEnd"/>
      <w:r w:rsidR="00086469" w:rsidRPr="004D3130">
        <w:rPr>
          <w:rFonts w:cs="Domine"/>
          <w:b/>
          <w:color w:val="000000"/>
          <w:kern w:val="0"/>
          <w:szCs w:val="21"/>
        </w:rPr>
        <w:t xml:space="preserve"> effect groups. </w:t>
      </w:r>
      <w:r w:rsidR="001F5E35">
        <w:rPr>
          <w:rFonts w:cs="Domine"/>
          <w:color w:val="000000"/>
          <w:kern w:val="0"/>
          <w:szCs w:val="21"/>
        </w:rPr>
        <w:t>The l</w:t>
      </w:r>
      <w:r w:rsidR="00086469" w:rsidRPr="004D3130">
        <w:rPr>
          <w:rFonts w:cs="Domine"/>
          <w:color w:val="000000"/>
          <w:kern w:val="0"/>
          <w:szCs w:val="21"/>
        </w:rPr>
        <w:t xml:space="preserve">eft, middle and right panels represent pre-learning ability (i.e., performance in the first block of </w:t>
      </w:r>
      <w:r w:rsidR="00177BCA" w:rsidRPr="004D3130">
        <w:rPr>
          <w:rFonts w:cs="Domine"/>
          <w:color w:val="000000"/>
          <w:kern w:val="0"/>
          <w:szCs w:val="21"/>
        </w:rPr>
        <w:t>the learning session), post-</w:t>
      </w:r>
      <w:r w:rsidR="00086469" w:rsidRPr="004D3130">
        <w:rPr>
          <w:rFonts w:cs="Domine"/>
          <w:color w:val="000000"/>
          <w:kern w:val="0"/>
          <w:szCs w:val="21"/>
        </w:rPr>
        <w:t xml:space="preserve">learning ability (i.e., performance in the last block) and amount of learning (i.e., difference </w:t>
      </w:r>
      <w:r w:rsidR="001F5E35">
        <w:rPr>
          <w:rFonts w:cs="Domine"/>
          <w:color w:val="000000"/>
          <w:kern w:val="0"/>
          <w:szCs w:val="21"/>
        </w:rPr>
        <w:t>in</w:t>
      </w:r>
      <w:r w:rsidR="001F5E35" w:rsidRPr="004D3130">
        <w:rPr>
          <w:rFonts w:cs="Domine"/>
          <w:color w:val="000000"/>
          <w:kern w:val="0"/>
          <w:szCs w:val="21"/>
        </w:rPr>
        <w:t xml:space="preserve"> </w:t>
      </w:r>
      <w:r w:rsidR="00086469" w:rsidRPr="004D3130">
        <w:rPr>
          <w:rFonts w:cs="Domine"/>
          <w:color w:val="000000"/>
          <w:kern w:val="0"/>
          <w:szCs w:val="21"/>
        </w:rPr>
        <w:t xml:space="preserve">performance between the first and last blocks), respectively. Performance here refers to the proportion of correct answers. </w:t>
      </w:r>
      <w:r w:rsidR="001F5E35">
        <w:rPr>
          <w:rFonts w:cs="Domine"/>
          <w:color w:val="000000"/>
          <w:kern w:val="0"/>
          <w:szCs w:val="21"/>
        </w:rPr>
        <w:t>The u</w:t>
      </w:r>
      <w:r w:rsidR="00086469" w:rsidRPr="004D3130">
        <w:rPr>
          <w:rFonts w:cs="Domine"/>
          <w:color w:val="000000"/>
          <w:kern w:val="0"/>
          <w:szCs w:val="21"/>
        </w:rPr>
        <w:t xml:space="preserve">pper and lower panels </w:t>
      </w:r>
      <w:r w:rsidR="00086469" w:rsidRPr="004D3130">
        <w:rPr>
          <w:rFonts w:cs="Domine"/>
          <w:color w:val="000000"/>
          <w:kern w:val="0"/>
          <w:szCs w:val="21"/>
        </w:rPr>
        <w:lastRenderedPageBreak/>
        <w:t>show</w:t>
      </w:r>
      <w:r w:rsidR="00CB4CE7" w:rsidRPr="004D3130">
        <w:rPr>
          <w:rFonts w:cs="Domine"/>
          <w:color w:val="000000"/>
          <w:kern w:val="0"/>
          <w:szCs w:val="21"/>
        </w:rPr>
        <w:t xml:space="preserve"> the</w:t>
      </w:r>
      <w:r w:rsidR="00086469" w:rsidRPr="004D3130">
        <w:rPr>
          <w:rFonts w:cs="Domine"/>
          <w:color w:val="000000"/>
          <w:kern w:val="0"/>
          <w:szCs w:val="21"/>
        </w:rPr>
        <w:t xml:space="preserve"> results </w:t>
      </w:r>
      <w:r w:rsidR="00CB4CE7" w:rsidRPr="004D3130">
        <w:rPr>
          <w:rFonts w:cs="Domine"/>
          <w:color w:val="000000"/>
          <w:kern w:val="0"/>
          <w:szCs w:val="21"/>
        </w:rPr>
        <w:t xml:space="preserve">for </w:t>
      </w:r>
      <w:r w:rsidR="00086469" w:rsidRPr="004D3130">
        <w:rPr>
          <w:rFonts w:cs="Domine"/>
          <w:color w:val="000000"/>
          <w:kern w:val="0"/>
          <w:szCs w:val="21"/>
        </w:rPr>
        <w:t xml:space="preserve">the </w:t>
      </w:r>
      <w:r w:rsidR="00CB4CE7" w:rsidRPr="004D3130">
        <w:rPr>
          <w:rFonts w:cs="Domine"/>
          <w:color w:val="000000"/>
          <w:kern w:val="0"/>
          <w:szCs w:val="21"/>
        </w:rPr>
        <w:t>“</w:t>
      </w:r>
      <w:r w:rsidR="00086469" w:rsidRPr="004D3130">
        <w:rPr>
          <w:rFonts w:cs="Domine"/>
          <w:color w:val="000000"/>
          <w:kern w:val="0"/>
          <w:szCs w:val="21"/>
        </w:rPr>
        <w:t>bi-cephalic</w:t>
      </w:r>
      <w:r w:rsidR="00CB4CE7" w:rsidRPr="004D3130">
        <w:rPr>
          <w:rFonts w:cs="Domine"/>
          <w:color w:val="000000"/>
          <w:kern w:val="0"/>
          <w:szCs w:val="21"/>
        </w:rPr>
        <w:t>”</w:t>
      </w:r>
      <w:r w:rsidR="00086469" w:rsidRPr="004D3130">
        <w:rPr>
          <w:rFonts w:cs="Domine"/>
          <w:color w:val="000000"/>
          <w:kern w:val="0"/>
          <w:szCs w:val="21"/>
        </w:rPr>
        <w:t xml:space="preserve"> and </w:t>
      </w:r>
      <w:r w:rsidR="00CB4CE7" w:rsidRPr="004D3130">
        <w:rPr>
          <w:rFonts w:cs="Domine"/>
          <w:color w:val="000000"/>
          <w:kern w:val="0"/>
          <w:szCs w:val="21"/>
        </w:rPr>
        <w:t>“</w:t>
      </w:r>
      <w:r w:rsidR="00086469" w:rsidRPr="004D3130">
        <w:rPr>
          <w:rFonts w:cs="Domine"/>
          <w:color w:val="000000"/>
          <w:kern w:val="0"/>
          <w:szCs w:val="21"/>
        </w:rPr>
        <w:t>extra-cephalic</w:t>
      </w:r>
      <w:r w:rsidR="00CB4CE7" w:rsidRPr="004D3130">
        <w:rPr>
          <w:rFonts w:cs="Domine"/>
          <w:color w:val="000000"/>
          <w:kern w:val="0"/>
          <w:szCs w:val="21"/>
        </w:rPr>
        <w:t>”</w:t>
      </w:r>
      <w:r w:rsidR="00086469" w:rsidRPr="004D3130">
        <w:rPr>
          <w:rFonts w:cs="Domine"/>
          <w:color w:val="000000"/>
          <w:kern w:val="0"/>
          <w:szCs w:val="21"/>
        </w:rPr>
        <w:t xml:space="preserve"> groups, respectively. </w:t>
      </w:r>
    </w:p>
    <w:p w14:paraId="1DDCBF90" w14:textId="77777777" w:rsidR="00086469" w:rsidRPr="004D3130" w:rsidRDefault="00086469" w:rsidP="00086469">
      <w:pPr>
        <w:spacing w:line="480" w:lineRule="auto"/>
        <w:ind w:firstLine="210"/>
        <w:rPr>
          <w:rFonts w:cs="Domine"/>
          <w:color w:val="000000"/>
          <w:kern w:val="0"/>
          <w:szCs w:val="21"/>
        </w:rPr>
      </w:pPr>
    </w:p>
    <w:p w14:paraId="38ADB4D4" w14:textId="2EB118ED" w:rsidR="00086469" w:rsidRPr="004D3130" w:rsidRDefault="00086469" w:rsidP="00086469">
      <w:pPr>
        <w:spacing w:line="480" w:lineRule="auto"/>
        <w:ind w:firstLine="420"/>
        <w:rPr>
          <w:rFonts w:cs="Domine"/>
          <w:color w:val="000000"/>
          <w:kern w:val="0"/>
          <w:szCs w:val="21"/>
        </w:rPr>
      </w:pPr>
      <w:r w:rsidRPr="004D3130">
        <w:rPr>
          <w:rFonts w:cs="Domine"/>
          <w:color w:val="000000"/>
          <w:kern w:val="0"/>
          <w:szCs w:val="21"/>
        </w:rPr>
        <w:t>One-way ANOVA revealed that pre/post-learning abilit</w:t>
      </w:r>
      <w:r w:rsidR="00F40A50">
        <w:rPr>
          <w:rFonts w:cs="Domine"/>
          <w:color w:val="000000"/>
          <w:kern w:val="0"/>
          <w:szCs w:val="21"/>
        </w:rPr>
        <w:t>y</w:t>
      </w:r>
      <w:r w:rsidRPr="004D3130">
        <w:rPr>
          <w:rFonts w:cs="Domine"/>
          <w:color w:val="000000"/>
          <w:kern w:val="0"/>
          <w:szCs w:val="21"/>
        </w:rPr>
        <w:t xml:space="preserve"> and amount of learning did not differ across </w:t>
      </w:r>
      <w:proofErr w:type="spellStart"/>
      <w:r w:rsidRPr="004D3130">
        <w:rPr>
          <w:rFonts w:cs="Domine"/>
          <w:color w:val="000000"/>
          <w:kern w:val="0"/>
          <w:szCs w:val="21"/>
        </w:rPr>
        <w:t>tDCS</w:t>
      </w:r>
      <w:proofErr w:type="spellEnd"/>
      <w:r w:rsidRPr="004D3130">
        <w:rPr>
          <w:rFonts w:cs="Domine"/>
          <w:color w:val="000000"/>
          <w:kern w:val="0"/>
          <w:szCs w:val="21"/>
        </w:rPr>
        <w:t xml:space="preserve"> effect</w:t>
      </w:r>
      <w:r w:rsidR="00C91798">
        <w:rPr>
          <w:rFonts w:cs="Domine"/>
          <w:color w:val="000000"/>
          <w:kern w:val="0"/>
          <w:szCs w:val="21"/>
        </w:rPr>
        <w:t xml:space="preserve"> groups</w:t>
      </w:r>
      <w:r w:rsidRPr="004D3130">
        <w:rPr>
          <w:rFonts w:cs="Domine"/>
          <w:color w:val="000000"/>
          <w:kern w:val="0"/>
          <w:szCs w:val="21"/>
        </w:rPr>
        <w:t xml:space="preserve"> (for the </w:t>
      </w:r>
      <w:r w:rsidR="00CB4CE7" w:rsidRPr="004D3130">
        <w:rPr>
          <w:rFonts w:cs="Domine"/>
          <w:color w:val="000000"/>
          <w:kern w:val="0"/>
          <w:szCs w:val="21"/>
        </w:rPr>
        <w:t>“</w:t>
      </w:r>
      <w:r w:rsidRPr="004D3130">
        <w:rPr>
          <w:rFonts w:cs="Domine"/>
          <w:color w:val="000000"/>
          <w:kern w:val="0"/>
          <w:szCs w:val="21"/>
        </w:rPr>
        <w:t>bi-cephalic</w:t>
      </w:r>
      <w:r w:rsidR="00CB4CE7" w:rsidRPr="004D3130">
        <w:rPr>
          <w:rFonts w:cs="Domine"/>
          <w:color w:val="000000"/>
          <w:kern w:val="0"/>
          <w:szCs w:val="21"/>
        </w:rPr>
        <w:t>”</w:t>
      </w:r>
      <w:r w:rsidRPr="004D3130">
        <w:rPr>
          <w:rFonts w:cs="Domine"/>
          <w:color w:val="000000"/>
          <w:kern w:val="0"/>
          <w:szCs w:val="21"/>
        </w:rPr>
        <w:t xml:space="preserve"> group, F</w:t>
      </w:r>
      <w:r w:rsidR="007B74FD" w:rsidRPr="004D3130">
        <w:rPr>
          <w:rFonts w:cs="Domine"/>
          <w:color w:val="000000"/>
          <w:kern w:val="0"/>
          <w:szCs w:val="21"/>
        </w:rPr>
        <w:t>[</w:t>
      </w:r>
      <w:r w:rsidRPr="004D3130">
        <w:rPr>
          <w:rFonts w:cs="Domine"/>
          <w:color w:val="000000"/>
          <w:kern w:val="0"/>
          <w:szCs w:val="21"/>
        </w:rPr>
        <w:t>2, 26</w:t>
      </w:r>
      <w:r w:rsidR="007B74FD" w:rsidRPr="004D3130">
        <w:rPr>
          <w:rFonts w:cs="Domine"/>
          <w:color w:val="000000"/>
          <w:kern w:val="0"/>
          <w:szCs w:val="21"/>
        </w:rPr>
        <w:t>]</w:t>
      </w:r>
      <w:r w:rsidRPr="004D3130">
        <w:rPr>
          <w:rFonts w:cs="Domine"/>
          <w:color w:val="000000"/>
          <w:kern w:val="0"/>
          <w:szCs w:val="21"/>
        </w:rPr>
        <w:t xml:space="preserve"> = 0.54 and p = 0.5897 for pre-learning ability, F</w:t>
      </w:r>
      <w:r w:rsidR="007B74FD" w:rsidRPr="004D3130">
        <w:rPr>
          <w:rFonts w:cs="Domine"/>
          <w:color w:val="000000"/>
          <w:kern w:val="0"/>
          <w:szCs w:val="21"/>
        </w:rPr>
        <w:t>[</w:t>
      </w:r>
      <w:r w:rsidRPr="004D3130">
        <w:rPr>
          <w:rFonts w:cs="Domine"/>
          <w:color w:val="000000"/>
          <w:kern w:val="0"/>
          <w:szCs w:val="21"/>
        </w:rPr>
        <w:t>2, 26</w:t>
      </w:r>
      <w:r w:rsidR="007B74FD" w:rsidRPr="004D3130">
        <w:rPr>
          <w:rFonts w:cs="Domine"/>
          <w:color w:val="000000"/>
          <w:kern w:val="0"/>
          <w:szCs w:val="21"/>
        </w:rPr>
        <w:t>]</w:t>
      </w:r>
      <w:r w:rsidRPr="004D3130">
        <w:rPr>
          <w:rFonts w:cs="Domine"/>
          <w:color w:val="000000"/>
          <w:kern w:val="0"/>
          <w:szCs w:val="21"/>
        </w:rPr>
        <w:t xml:space="preserve"> = 0.06 and p = 0.9453 for post-learning ability, and F</w:t>
      </w:r>
      <w:r w:rsidR="007B74FD" w:rsidRPr="004D3130">
        <w:rPr>
          <w:rFonts w:cs="Domine"/>
          <w:color w:val="000000"/>
          <w:kern w:val="0"/>
          <w:szCs w:val="21"/>
        </w:rPr>
        <w:t>[</w:t>
      </w:r>
      <w:r w:rsidRPr="004D3130">
        <w:rPr>
          <w:rFonts w:cs="Domine"/>
          <w:color w:val="000000"/>
          <w:kern w:val="0"/>
          <w:szCs w:val="21"/>
        </w:rPr>
        <w:t>2, 26</w:t>
      </w:r>
      <w:r w:rsidR="007B74FD" w:rsidRPr="004D3130">
        <w:rPr>
          <w:rFonts w:cs="Domine"/>
          <w:color w:val="000000"/>
          <w:kern w:val="0"/>
          <w:szCs w:val="21"/>
        </w:rPr>
        <w:t>]</w:t>
      </w:r>
      <w:r w:rsidRPr="004D3130">
        <w:rPr>
          <w:rFonts w:cs="Domine"/>
          <w:color w:val="000000"/>
          <w:kern w:val="0"/>
          <w:szCs w:val="21"/>
        </w:rPr>
        <w:t xml:space="preserve"> = 0.58 and p = 0.5678 for </w:t>
      </w:r>
      <w:r w:rsidR="00987A61" w:rsidRPr="004D3130">
        <w:rPr>
          <w:rFonts w:cs="Domine"/>
          <w:color w:val="000000"/>
          <w:kern w:val="0"/>
          <w:szCs w:val="21"/>
        </w:rPr>
        <w:t xml:space="preserve">the </w:t>
      </w:r>
      <w:r w:rsidRPr="004D3130">
        <w:rPr>
          <w:rFonts w:cs="Domine"/>
          <w:color w:val="000000"/>
          <w:kern w:val="0"/>
          <w:szCs w:val="21"/>
        </w:rPr>
        <w:t xml:space="preserve">amount of learning; for the </w:t>
      </w:r>
      <w:r w:rsidR="007B74FD" w:rsidRPr="004D3130">
        <w:rPr>
          <w:rFonts w:cs="Domine"/>
          <w:color w:val="000000"/>
          <w:kern w:val="0"/>
          <w:szCs w:val="21"/>
        </w:rPr>
        <w:t>“</w:t>
      </w:r>
      <w:r w:rsidRPr="004D3130">
        <w:rPr>
          <w:rFonts w:cs="Domine"/>
          <w:color w:val="000000"/>
          <w:kern w:val="0"/>
          <w:szCs w:val="21"/>
        </w:rPr>
        <w:t>extra-cephalic</w:t>
      </w:r>
      <w:r w:rsidR="007B74FD" w:rsidRPr="004D3130">
        <w:rPr>
          <w:rFonts w:cs="Domine"/>
          <w:color w:val="000000"/>
          <w:kern w:val="0"/>
          <w:szCs w:val="21"/>
        </w:rPr>
        <w:t>”</w:t>
      </w:r>
      <w:r w:rsidRPr="004D3130">
        <w:rPr>
          <w:rFonts w:cs="Domine"/>
          <w:color w:val="000000"/>
          <w:kern w:val="0"/>
          <w:szCs w:val="21"/>
        </w:rPr>
        <w:t xml:space="preserve"> group, F</w:t>
      </w:r>
      <w:r w:rsidR="009B17A1" w:rsidRPr="004D3130">
        <w:rPr>
          <w:rFonts w:cs="Domine"/>
          <w:color w:val="000000"/>
          <w:kern w:val="0"/>
          <w:szCs w:val="21"/>
        </w:rPr>
        <w:t>[</w:t>
      </w:r>
      <w:r w:rsidRPr="004D3130">
        <w:rPr>
          <w:rFonts w:cs="Domine"/>
          <w:color w:val="000000"/>
          <w:kern w:val="0"/>
          <w:szCs w:val="21"/>
        </w:rPr>
        <w:t>2, 25</w:t>
      </w:r>
      <w:r w:rsidR="009B17A1" w:rsidRPr="004D3130">
        <w:rPr>
          <w:rFonts w:cs="Domine"/>
          <w:color w:val="000000"/>
          <w:kern w:val="0"/>
          <w:szCs w:val="21"/>
        </w:rPr>
        <w:t>]</w:t>
      </w:r>
      <w:r w:rsidRPr="004D3130">
        <w:rPr>
          <w:rFonts w:cs="Domine"/>
          <w:color w:val="000000"/>
          <w:kern w:val="0"/>
          <w:szCs w:val="21"/>
        </w:rPr>
        <w:t xml:space="preserve"> = 0.12 and p = 0.8855 for pre-learning ability, F(2, 25) = 0.86 and p = 0.4367 for post-learning ability, and F</w:t>
      </w:r>
      <w:r w:rsidR="00437511" w:rsidRPr="004D3130">
        <w:rPr>
          <w:rFonts w:cs="Domine"/>
          <w:color w:val="000000"/>
          <w:kern w:val="0"/>
          <w:szCs w:val="21"/>
        </w:rPr>
        <w:t>[</w:t>
      </w:r>
      <w:r w:rsidRPr="004D3130">
        <w:rPr>
          <w:rFonts w:cs="Domine"/>
          <w:color w:val="000000"/>
          <w:kern w:val="0"/>
          <w:szCs w:val="21"/>
        </w:rPr>
        <w:t>2, 25</w:t>
      </w:r>
      <w:r w:rsidR="00437511" w:rsidRPr="004D3130">
        <w:rPr>
          <w:rFonts w:cs="Domine"/>
          <w:color w:val="000000"/>
          <w:kern w:val="0"/>
          <w:szCs w:val="21"/>
        </w:rPr>
        <w:t>]</w:t>
      </w:r>
      <w:r w:rsidRPr="004D3130">
        <w:rPr>
          <w:rFonts w:cs="Domine"/>
          <w:color w:val="000000"/>
          <w:kern w:val="0"/>
          <w:szCs w:val="21"/>
        </w:rPr>
        <w:t xml:space="preserve"> = 0.23 and p = 0.7994 for the amount of learning). </w:t>
      </w:r>
    </w:p>
    <w:p w14:paraId="7AFF07B9" w14:textId="5406B2F1" w:rsidR="00086469" w:rsidRPr="004D3130" w:rsidRDefault="00086469" w:rsidP="00086469">
      <w:pPr>
        <w:spacing w:line="480" w:lineRule="auto"/>
        <w:ind w:firstLine="420"/>
        <w:rPr>
          <w:rFonts w:cs="Domine"/>
          <w:kern w:val="0"/>
          <w:szCs w:val="21"/>
        </w:rPr>
      </w:pPr>
      <w:r w:rsidRPr="004D3130">
        <w:rPr>
          <w:rFonts w:cs="Domine"/>
          <w:kern w:val="0"/>
          <w:szCs w:val="21"/>
        </w:rPr>
        <w:t>Thus, our data suggests that pre-learning</w:t>
      </w:r>
      <w:r w:rsidR="00407F91">
        <w:rPr>
          <w:rFonts w:cs="Domine"/>
          <w:kern w:val="0"/>
          <w:szCs w:val="21"/>
        </w:rPr>
        <w:t xml:space="preserve"> (i.e., natural)</w:t>
      </w:r>
      <w:r w:rsidRPr="004D3130">
        <w:rPr>
          <w:rFonts w:cs="Domine"/>
          <w:kern w:val="0"/>
          <w:szCs w:val="21"/>
        </w:rPr>
        <w:t xml:space="preserve"> ability did not </w:t>
      </w:r>
      <w:r w:rsidR="00F40A50">
        <w:rPr>
          <w:rFonts w:cs="Domine"/>
          <w:kern w:val="0"/>
          <w:szCs w:val="21"/>
        </w:rPr>
        <w:t>alter the effects of</w:t>
      </w:r>
      <w:r w:rsidR="00F40A50" w:rsidRPr="004D3130">
        <w:rPr>
          <w:rFonts w:cs="Domine"/>
          <w:kern w:val="0"/>
          <w:szCs w:val="21"/>
        </w:rPr>
        <w:t xml:space="preserve"> </w:t>
      </w:r>
      <w:proofErr w:type="spellStart"/>
      <w:r w:rsidRPr="004D3130">
        <w:rPr>
          <w:rFonts w:cs="Domine"/>
          <w:kern w:val="0"/>
          <w:szCs w:val="21"/>
        </w:rPr>
        <w:t>tDCS</w:t>
      </w:r>
      <w:proofErr w:type="spellEnd"/>
      <w:r w:rsidRPr="004D3130">
        <w:rPr>
          <w:rFonts w:cs="Domine"/>
          <w:kern w:val="0"/>
          <w:szCs w:val="21"/>
        </w:rPr>
        <w:t>, inconsistent with previous findings using other tasks</w:t>
      </w:r>
      <w:r w:rsidR="006918CF">
        <w:rPr>
          <w:rFonts w:cs="Domine"/>
          <w:kern w:val="0"/>
          <w:szCs w:val="21"/>
        </w:rPr>
        <w:t xml:space="preserve"> [</w:t>
      </w:r>
      <w:r w:rsidR="00B7690E" w:rsidRPr="00CD6873">
        <w:rPr>
          <w:rFonts w:cs="Domine"/>
          <w:kern w:val="0"/>
          <w:szCs w:val="21"/>
        </w:rPr>
        <w:t>4, 5</w:t>
      </w:r>
      <w:r w:rsidR="006918CF">
        <w:rPr>
          <w:rFonts w:cs="Domine"/>
          <w:kern w:val="0"/>
          <w:szCs w:val="21"/>
        </w:rPr>
        <w:t>]</w:t>
      </w:r>
      <w:r w:rsidRPr="004D3130">
        <w:rPr>
          <w:rFonts w:cs="Domine"/>
          <w:kern w:val="0"/>
          <w:szCs w:val="21"/>
        </w:rPr>
        <w:t xml:space="preserve">. One possible reason for this discrepancy is </w:t>
      </w:r>
      <w:r w:rsidR="00760B39">
        <w:rPr>
          <w:rFonts w:cs="Domine"/>
          <w:kern w:val="0"/>
          <w:szCs w:val="21"/>
        </w:rPr>
        <w:t>related to the unique characteristics of</w:t>
      </w:r>
      <w:r w:rsidR="00760B39" w:rsidRPr="004D3130">
        <w:rPr>
          <w:rFonts w:cs="Domine"/>
          <w:kern w:val="0"/>
          <w:szCs w:val="21"/>
        </w:rPr>
        <w:t xml:space="preserve"> </w:t>
      </w:r>
      <w:r w:rsidRPr="004D3130">
        <w:rPr>
          <w:rFonts w:cs="Domine"/>
          <w:kern w:val="0"/>
          <w:szCs w:val="21"/>
        </w:rPr>
        <w:t>the matchstick arithmetic task</w:t>
      </w:r>
      <w:r w:rsidR="00D61077" w:rsidRPr="004D3130">
        <w:rPr>
          <w:rFonts w:cs="Domine"/>
          <w:kern w:val="0"/>
          <w:szCs w:val="21"/>
        </w:rPr>
        <w:t>,</w:t>
      </w:r>
      <w:r w:rsidRPr="004D3130">
        <w:rPr>
          <w:rFonts w:cs="Domine"/>
          <w:kern w:val="0"/>
          <w:szCs w:val="21"/>
        </w:rPr>
        <w:t xml:space="preserve"> </w:t>
      </w:r>
      <w:r w:rsidR="00760B39">
        <w:rPr>
          <w:rFonts w:cs="Domine"/>
          <w:kern w:val="0"/>
          <w:szCs w:val="21"/>
        </w:rPr>
        <w:t>because</w:t>
      </w:r>
      <w:r w:rsidRPr="004D3130">
        <w:rPr>
          <w:rFonts w:cs="Domine"/>
          <w:kern w:val="0"/>
          <w:szCs w:val="21"/>
        </w:rPr>
        <w:t xml:space="preserve"> learning one solution strategy </w:t>
      </w:r>
      <w:r w:rsidR="00AE3ADA">
        <w:rPr>
          <w:rFonts w:cs="Domine"/>
          <w:kern w:val="0"/>
          <w:szCs w:val="21"/>
        </w:rPr>
        <w:t>can</w:t>
      </w:r>
      <w:r w:rsidR="00AE3ADA" w:rsidRPr="004D3130">
        <w:rPr>
          <w:rFonts w:cs="Domine"/>
          <w:kern w:val="0"/>
          <w:szCs w:val="21"/>
        </w:rPr>
        <w:t xml:space="preserve"> </w:t>
      </w:r>
      <w:r w:rsidRPr="004D3130">
        <w:rPr>
          <w:rFonts w:cs="Domine"/>
          <w:kern w:val="0"/>
          <w:szCs w:val="21"/>
        </w:rPr>
        <w:t xml:space="preserve">impede solving a new problem </w:t>
      </w:r>
      <w:r w:rsidR="00AE3ADA">
        <w:rPr>
          <w:rFonts w:cs="Domine"/>
          <w:kern w:val="0"/>
          <w:szCs w:val="21"/>
        </w:rPr>
        <w:t>that</w:t>
      </w:r>
      <w:r w:rsidR="00AE3ADA" w:rsidRPr="004D3130">
        <w:rPr>
          <w:rFonts w:cs="Domine"/>
          <w:kern w:val="0"/>
          <w:szCs w:val="21"/>
        </w:rPr>
        <w:t xml:space="preserve"> </w:t>
      </w:r>
      <w:r w:rsidRPr="004D3130">
        <w:rPr>
          <w:rFonts w:cs="Domine"/>
          <w:kern w:val="0"/>
          <w:szCs w:val="21"/>
        </w:rPr>
        <w:t xml:space="preserve">requires other solution strategies.  </w:t>
      </w:r>
    </w:p>
    <w:p w14:paraId="24D834D4" w14:textId="77777777" w:rsidR="00086469" w:rsidRPr="00CD6873" w:rsidRDefault="00086469" w:rsidP="00086469">
      <w:pPr>
        <w:spacing w:line="480" w:lineRule="auto"/>
        <w:rPr>
          <w:rFonts w:cs="Domine"/>
          <w:kern w:val="0"/>
          <w:szCs w:val="21"/>
        </w:rPr>
      </w:pPr>
    </w:p>
    <w:p w14:paraId="54F9A498" w14:textId="330FA84F" w:rsidR="007C5C17" w:rsidRPr="00C331B7" w:rsidRDefault="007C5C17" w:rsidP="00086469">
      <w:pPr>
        <w:spacing w:line="480" w:lineRule="auto"/>
        <w:rPr>
          <w:rFonts w:cs="Domine"/>
          <w:b/>
          <w:kern w:val="0"/>
          <w:sz w:val="28"/>
          <w:szCs w:val="28"/>
        </w:rPr>
      </w:pPr>
      <w:r w:rsidRPr="00C331B7">
        <w:rPr>
          <w:rFonts w:cs="Domine" w:hint="eastAsia"/>
          <w:b/>
          <w:kern w:val="0"/>
          <w:sz w:val="28"/>
          <w:szCs w:val="28"/>
        </w:rPr>
        <w:t>3.2. Effect of mood on performance</w:t>
      </w:r>
    </w:p>
    <w:p w14:paraId="6C479EED" w14:textId="37AC8E90" w:rsidR="00086469" w:rsidRPr="004D3130" w:rsidRDefault="00086469" w:rsidP="00086469">
      <w:pPr>
        <w:spacing w:line="480" w:lineRule="auto"/>
        <w:ind w:firstLine="105"/>
        <w:rPr>
          <w:rFonts w:cs="Domine"/>
          <w:color w:val="000000"/>
          <w:kern w:val="0"/>
          <w:szCs w:val="21"/>
        </w:rPr>
      </w:pPr>
      <w:proofErr w:type="spellStart"/>
      <w:r w:rsidRPr="004D3130">
        <w:rPr>
          <w:rFonts w:cs="Domine"/>
          <w:color w:val="000000"/>
          <w:kern w:val="0"/>
          <w:szCs w:val="21"/>
        </w:rPr>
        <w:t>Subramaniam</w:t>
      </w:r>
      <w:proofErr w:type="spellEnd"/>
      <w:r w:rsidRPr="004D3130">
        <w:rPr>
          <w:rFonts w:cs="Domine"/>
          <w:color w:val="000000"/>
          <w:kern w:val="0"/>
          <w:szCs w:val="21"/>
        </w:rPr>
        <w:t xml:space="preserve"> et al. </w:t>
      </w:r>
      <w:r w:rsidRPr="00CD6873">
        <w:rPr>
          <w:rFonts w:cs="Domine"/>
          <w:kern w:val="0"/>
          <w:szCs w:val="21"/>
        </w:rPr>
        <w:t>[</w:t>
      </w:r>
      <w:r w:rsidR="006E519F" w:rsidRPr="00CD6873">
        <w:rPr>
          <w:rFonts w:cs="Domine"/>
          <w:kern w:val="0"/>
          <w:szCs w:val="21"/>
        </w:rPr>
        <w:t>6</w:t>
      </w:r>
      <w:r w:rsidRPr="00CD6873">
        <w:rPr>
          <w:rFonts w:cs="Domine"/>
          <w:kern w:val="0"/>
          <w:szCs w:val="21"/>
        </w:rPr>
        <w:t>] fo</w:t>
      </w:r>
      <w:r w:rsidRPr="004D3130">
        <w:rPr>
          <w:rFonts w:cs="Domine"/>
          <w:kern w:val="0"/>
          <w:szCs w:val="21"/>
        </w:rPr>
        <w:t xml:space="preserve">und that subjects </w:t>
      </w:r>
      <w:r w:rsidR="00ED6504" w:rsidRPr="004D3130">
        <w:rPr>
          <w:rFonts w:cs="Domine"/>
          <w:kern w:val="0"/>
          <w:szCs w:val="21"/>
        </w:rPr>
        <w:t xml:space="preserve">who scored </w:t>
      </w:r>
      <w:r w:rsidRPr="004D3130">
        <w:rPr>
          <w:rFonts w:cs="Domine"/>
          <w:kern w:val="0"/>
          <w:szCs w:val="21"/>
        </w:rPr>
        <w:t>hi</w:t>
      </w:r>
      <w:r w:rsidRPr="004D3130">
        <w:rPr>
          <w:rFonts w:cs="Domine"/>
          <w:color w:val="000000"/>
          <w:kern w:val="0"/>
          <w:szCs w:val="21"/>
        </w:rPr>
        <w:t xml:space="preserve">gher in positive mood solved more problems, and specifically </w:t>
      </w:r>
      <w:r w:rsidR="00FA3A18" w:rsidRPr="004D3130">
        <w:rPr>
          <w:rFonts w:cs="Domine"/>
          <w:color w:val="000000"/>
          <w:kern w:val="0"/>
          <w:szCs w:val="21"/>
        </w:rPr>
        <w:t xml:space="preserve">solved </w:t>
      </w:r>
      <w:r w:rsidRPr="004D3130">
        <w:rPr>
          <w:rFonts w:cs="Domine"/>
          <w:color w:val="000000"/>
          <w:kern w:val="0"/>
          <w:szCs w:val="21"/>
        </w:rPr>
        <w:t xml:space="preserve">more </w:t>
      </w:r>
      <w:r w:rsidR="00FA3A18" w:rsidRPr="004D3130">
        <w:rPr>
          <w:rFonts w:cs="Domine"/>
          <w:color w:val="000000"/>
          <w:kern w:val="0"/>
          <w:szCs w:val="21"/>
        </w:rPr>
        <w:t xml:space="preserve">problems </w:t>
      </w:r>
      <w:r w:rsidRPr="004D3130">
        <w:rPr>
          <w:rFonts w:cs="Domine"/>
          <w:color w:val="000000"/>
          <w:kern w:val="0"/>
          <w:szCs w:val="21"/>
        </w:rPr>
        <w:t xml:space="preserve">with insight, compared with </w:t>
      </w:r>
      <w:r w:rsidRPr="004D3130">
        <w:rPr>
          <w:rFonts w:cs="Domine"/>
          <w:kern w:val="0"/>
          <w:szCs w:val="21"/>
        </w:rPr>
        <w:t>subjects</w:t>
      </w:r>
      <w:r w:rsidR="00326451" w:rsidRPr="004D3130">
        <w:rPr>
          <w:rFonts w:cs="Domine"/>
          <w:kern w:val="0"/>
          <w:szCs w:val="21"/>
        </w:rPr>
        <w:t xml:space="preserve"> scoring</w:t>
      </w:r>
      <w:r w:rsidRPr="004D3130">
        <w:rPr>
          <w:rFonts w:cs="Domine"/>
          <w:color w:val="FF0000"/>
          <w:kern w:val="0"/>
          <w:szCs w:val="21"/>
        </w:rPr>
        <w:t xml:space="preserve"> </w:t>
      </w:r>
      <w:r w:rsidRPr="004D3130">
        <w:rPr>
          <w:rFonts w:cs="Domine"/>
          <w:color w:val="000000"/>
          <w:kern w:val="0"/>
          <w:szCs w:val="21"/>
        </w:rPr>
        <w:t xml:space="preserve">lower in positive mood. </w:t>
      </w:r>
      <w:r w:rsidR="00AE3ADA">
        <w:rPr>
          <w:rFonts w:cs="Domine"/>
          <w:color w:val="000000"/>
          <w:kern w:val="0"/>
          <w:szCs w:val="21"/>
        </w:rPr>
        <w:t>W</w:t>
      </w:r>
      <w:r w:rsidRPr="004D3130">
        <w:rPr>
          <w:rFonts w:cs="Domine"/>
          <w:color w:val="000000"/>
          <w:kern w:val="0"/>
          <w:szCs w:val="21"/>
        </w:rPr>
        <w:t xml:space="preserve">e investigated whether performance on insight problems depended on positive mood. As described in </w:t>
      </w:r>
      <w:r w:rsidR="00765AEF" w:rsidRPr="004D3130">
        <w:rPr>
          <w:rFonts w:cs="Domine"/>
          <w:color w:val="000000"/>
          <w:kern w:val="0"/>
          <w:szCs w:val="21"/>
        </w:rPr>
        <w:t xml:space="preserve">the </w:t>
      </w:r>
      <w:r w:rsidRPr="004D3130">
        <w:rPr>
          <w:rFonts w:cs="Domine"/>
          <w:color w:val="000000"/>
          <w:kern w:val="0"/>
          <w:szCs w:val="21"/>
        </w:rPr>
        <w:t>Materials and Methods</w:t>
      </w:r>
      <w:r w:rsidR="00765AEF" w:rsidRPr="004D3130">
        <w:rPr>
          <w:rFonts w:cs="Domine"/>
          <w:color w:val="000000"/>
          <w:kern w:val="0"/>
          <w:szCs w:val="21"/>
        </w:rPr>
        <w:t xml:space="preserve"> section</w:t>
      </w:r>
      <w:r w:rsidRPr="004D3130">
        <w:rPr>
          <w:rFonts w:cs="Domine"/>
          <w:color w:val="000000"/>
          <w:kern w:val="0"/>
          <w:szCs w:val="21"/>
        </w:rPr>
        <w:t xml:space="preserve">, we measured mood </w:t>
      </w:r>
      <w:r w:rsidR="00AE3ADA">
        <w:rPr>
          <w:rFonts w:cs="Domine"/>
          <w:color w:val="000000"/>
          <w:kern w:val="0"/>
          <w:szCs w:val="21"/>
        </w:rPr>
        <w:t>using</w:t>
      </w:r>
      <w:r w:rsidR="00AE3ADA" w:rsidRPr="004D3130">
        <w:rPr>
          <w:rFonts w:cs="Domine"/>
          <w:color w:val="000000"/>
          <w:kern w:val="0"/>
          <w:szCs w:val="21"/>
        </w:rPr>
        <w:t xml:space="preserve"> </w:t>
      </w:r>
      <w:r w:rsidR="00765AEF" w:rsidRPr="004D3130">
        <w:rPr>
          <w:rFonts w:cs="Domine"/>
          <w:color w:val="000000"/>
          <w:kern w:val="0"/>
          <w:szCs w:val="21"/>
        </w:rPr>
        <w:t xml:space="preserve">the </w:t>
      </w:r>
      <w:r w:rsidRPr="004D3130">
        <w:rPr>
          <w:rFonts w:cs="Domine"/>
          <w:kern w:val="0"/>
          <w:szCs w:val="21"/>
        </w:rPr>
        <w:t>Japanese version of</w:t>
      </w:r>
      <w:r w:rsidR="006775EF" w:rsidRPr="004D3130">
        <w:rPr>
          <w:rFonts w:cs="Domine"/>
          <w:kern w:val="0"/>
          <w:szCs w:val="21"/>
        </w:rPr>
        <w:t xml:space="preserve"> the</w:t>
      </w:r>
      <w:r w:rsidRPr="004D3130">
        <w:rPr>
          <w:rFonts w:cs="Domine"/>
          <w:color w:val="FF0000"/>
          <w:kern w:val="0"/>
          <w:szCs w:val="21"/>
        </w:rPr>
        <w:t xml:space="preserve"> </w:t>
      </w:r>
      <w:r w:rsidRPr="004D3130">
        <w:rPr>
          <w:rFonts w:cs="Domine"/>
          <w:color w:val="000000"/>
          <w:kern w:val="0"/>
          <w:szCs w:val="21"/>
        </w:rPr>
        <w:t xml:space="preserve">PANAS at the beginning of each </w:t>
      </w:r>
      <w:proofErr w:type="spellStart"/>
      <w:r w:rsidRPr="004D3130">
        <w:rPr>
          <w:rFonts w:cs="Domine"/>
          <w:color w:val="000000"/>
          <w:kern w:val="0"/>
          <w:szCs w:val="21"/>
        </w:rPr>
        <w:t>tDCS</w:t>
      </w:r>
      <w:proofErr w:type="spellEnd"/>
      <w:r w:rsidRPr="004D3130">
        <w:rPr>
          <w:rFonts w:cs="Domine"/>
          <w:color w:val="000000"/>
          <w:kern w:val="0"/>
          <w:szCs w:val="21"/>
        </w:rPr>
        <w:t xml:space="preserve"> session. </w:t>
      </w:r>
      <w:r w:rsidR="006775EF" w:rsidRPr="004D3130">
        <w:rPr>
          <w:rFonts w:cs="Domine"/>
          <w:color w:val="000000"/>
          <w:kern w:val="0"/>
          <w:szCs w:val="21"/>
        </w:rPr>
        <w:t xml:space="preserve">The </w:t>
      </w:r>
      <w:r w:rsidRPr="004D3130">
        <w:rPr>
          <w:rFonts w:cs="Domine"/>
          <w:color w:val="000000"/>
          <w:kern w:val="0"/>
          <w:szCs w:val="21"/>
        </w:rPr>
        <w:t>PANAS consists of 10 positive and 10 negative item</w:t>
      </w:r>
      <w:r w:rsidRPr="004D3130">
        <w:rPr>
          <w:rFonts w:cs="Domine"/>
          <w:kern w:val="0"/>
          <w:szCs w:val="21"/>
        </w:rPr>
        <w:t>s</w:t>
      </w:r>
      <w:r w:rsidR="00B60245" w:rsidRPr="004D3130">
        <w:rPr>
          <w:rFonts w:cs="Domine"/>
          <w:kern w:val="0"/>
          <w:szCs w:val="21"/>
        </w:rPr>
        <w:t>.</w:t>
      </w:r>
      <w:r w:rsidRPr="004D3130">
        <w:rPr>
          <w:rFonts w:cs="Domine"/>
          <w:kern w:val="0"/>
          <w:szCs w:val="21"/>
        </w:rPr>
        <w:t xml:space="preserve"> </w:t>
      </w:r>
      <w:r w:rsidR="00B60245" w:rsidRPr="004D3130">
        <w:rPr>
          <w:rFonts w:cs="Domine"/>
          <w:kern w:val="0"/>
          <w:szCs w:val="21"/>
        </w:rPr>
        <w:t>F</w:t>
      </w:r>
      <w:r w:rsidRPr="004D3130">
        <w:rPr>
          <w:rFonts w:cs="Domine"/>
          <w:kern w:val="0"/>
          <w:szCs w:val="21"/>
        </w:rPr>
        <w:t xml:space="preserve">or each item, subjects </w:t>
      </w:r>
      <w:r w:rsidR="002C1CD1" w:rsidRPr="004D3130">
        <w:rPr>
          <w:rFonts w:cs="Domine"/>
          <w:kern w:val="0"/>
          <w:szCs w:val="21"/>
        </w:rPr>
        <w:t>were instructed to give ratings</w:t>
      </w:r>
      <w:r w:rsidRPr="004D3130">
        <w:rPr>
          <w:rFonts w:cs="Domine"/>
          <w:kern w:val="0"/>
          <w:szCs w:val="21"/>
        </w:rPr>
        <w:t xml:space="preserve"> </w:t>
      </w:r>
      <w:r w:rsidR="008D0260" w:rsidRPr="004D3130">
        <w:rPr>
          <w:rFonts w:cs="Domine"/>
          <w:kern w:val="0"/>
          <w:szCs w:val="21"/>
        </w:rPr>
        <w:t>on</w:t>
      </w:r>
      <w:r w:rsidRPr="004D3130">
        <w:rPr>
          <w:rFonts w:cs="Domine"/>
          <w:kern w:val="0"/>
          <w:szCs w:val="21"/>
        </w:rPr>
        <w:t xml:space="preserve"> </w:t>
      </w:r>
      <w:r w:rsidR="008D0260" w:rsidRPr="004D3130">
        <w:rPr>
          <w:rFonts w:cs="Domine"/>
          <w:kern w:val="0"/>
          <w:szCs w:val="21"/>
        </w:rPr>
        <w:t xml:space="preserve">a </w:t>
      </w:r>
      <w:r w:rsidRPr="004D3130">
        <w:rPr>
          <w:rFonts w:cs="Domine"/>
          <w:kern w:val="0"/>
          <w:szCs w:val="21"/>
        </w:rPr>
        <w:t xml:space="preserve">6-point scale. </w:t>
      </w:r>
      <w:r w:rsidRPr="004D3130">
        <w:rPr>
          <w:rFonts w:cs="Domine"/>
          <w:color w:val="000000"/>
          <w:kern w:val="0"/>
          <w:szCs w:val="21"/>
        </w:rPr>
        <w:t xml:space="preserve">As a positive mood measure, </w:t>
      </w:r>
      <w:proofErr w:type="spellStart"/>
      <w:r w:rsidRPr="004D3130">
        <w:rPr>
          <w:rFonts w:cs="Domine"/>
          <w:color w:val="000000"/>
          <w:kern w:val="0"/>
          <w:szCs w:val="21"/>
        </w:rPr>
        <w:lastRenderedPageBreak/>
        <w:t>Subramaniam</w:t>
      </w:r>
      <w:proofErr w:type="spellEnd"/>
      <w:r w:rsidRPr="004D3130">
        <w:rPr>
          <w:rFonts w:cs="Domine"/>
          <w:color w:val="000000"/>
          <w:kern w:val="0"/>
          <w:szCs w:val="21"/>
        </w:rPr>
        <w:t xml:space="preserve"> and colleagues used the difference P – N, where P and N are the sums of the 10 positive and negative scores, respectively.     </w:t>
      </w:r>
    </w:p>
    <w:p w14:paraId="12A8D95F" w14:textId="699950ED" w:rsidR="00086469" w:rsidRPr="004D3130" w:rsidRDefault="00086469" w:rsidP="00086469">
      <w:pPr>
        <w:spacing w:line="480" w:lineRule="auto"/>
        <w:ind w:firstLine="105"/>
        <w:rPr>
          <w:rFonts w:cs="Domine"/>
          <w:color w:val="000000"/>
          <w:kern w:val="0"/>
          <w:szCs w:val="21"/>
        </w:rPr>
      </w:pPr>
      <w:r w:rsidRPr="004D3130">
        <w:rPr>
          <w:rFonts w:cs="Domine"/>
          <w:color w:val="000000"/>
          <w:kern w:val="0"/>
          <w:szCs w:val="21"/>
        </w:rPr>
        <w:t xml:space="preserve"> We adopted the number of correct answers as a measure of performance on the insight problems. </w:t>
      </w:r>
      <w:r w:rsidR="00AE3ADA">
        <w:rPr>
          <w:rFonts w:cs="Domine"/>
          <w:color w:val="000000"/>
          <w:kern w:val="0"/>
          <w:szCs w:val="21"/>
        </w:rPr>
        <w:t>In accord with</w:t>
      </w:r>
      <w:r w:rsidRPr="004D3130">
        <w:rPr>
          <w:rFonts w:cs="Domine"/>
          <w:color w:val="000000"/>
          <w:kern w:val="0"/>
          <w:szCs w:val="21"/>
        </w:rPr>
        <w:t xml:space="preserve"> </w:t>
      </w:r>
      <w:r w:rsidR="00AE3ADA">
        <w:rPr>
          <w:rFonts w:cs="Domine"/>
          <w:color w:val="000000"/>
          <w:kern w:val="0"/>
          <w:szCs w:val="21"/>
        </w:rPr>
        <w:t>a</w:t>
      </w:r>
      <w:r w:rsidR="00AE3ADA" w:rsidRPr="004D3130">
        <w:rPr>
          <w:rFonts w:cs="Domine"/>
          <w:color w:val="000000"/>
          <w:kern w:val="0"/>
          <w:szCs w:val="21"/>
        </w:rPr>
        <w:t xml:space="preserve"> </w:t>
      </w:r>
      <w:r w:rsidRPr="004D3130">
        <w:rPr>
          <w:rFonts w:cs="Domine"/>
          <w:color w:val="000000"/>
          <w:kern w:val="0"/>
          <w:szCs w:val="21"/>
        </w:rPr>
        <w:t xml:space="preserve">previous study by </w:t>
      </w:r>
      <w:proofErr w:type="spellStart"/>
      <w:r w:rsidRPr="004D3130">
        <w:rPr>
          <w:rFonts w:cs="Domine"/>
          <w:color w:val="000000"/>
          <w:kern w:val="0"/>
          <w:szCs w:val="21"/>
        </w:rPr>
        <w:t>Subramaniam</w:t>
      </w:r>
      <w:proofErr w:type="spellEnd"/>
      <w:r w:rsidRPr="004D3130">
        <w:rPr>
          <w:rFonts w:cs="Domine"/>
          <w:color w:val="000000"/>
          <w:kern w:val="0"/>
          <w:szCs w:val="21"/>
        </w:rPr>
        <w:t xml:space="preserve"> et al</w:t>
      </w:r>
      <w:r w:rsidRPr="004D3130">
        <w:rPr>
          <w:rFonts w:cs="Domine"/>
          <w:kern w:val="0"/>
          <w:szCs w:val="21"/>
        </w:rPr>
        <w:t>. [</w:t>
      </w:r>
      <w:r w:rsidR="006E519F" w:rsidRPr="00CD6873">
        <w:rPr>
          <w:rFonts w:cs="Domine"/>
          <w:kern w:val="0"/>
          <w:szCs w:val="21"/>
        </w:rPr>
        <w:t>6</w:t>
      </w:r>
      <w:r w:rsidRPr="004D3130">
        <w:rPr>
          <w:rFonts w:cs="Domine"/>
          <w:kern w:val="0"/>
          <w:szCs w:val="21"/>
        </w:rPr>
        <w:t xml:space="preserve">], </w:t>
      </w:r>
      <w:r w:rsidRPr="004D3130">
        <w:rPr>
          <w:rFonts w:cs="Domine"/>
          <w:color w:val="000000"/>
          <w:kern w:val="0"/>
          <w:szCs w:val="21"/>
        </w:rPr>
        <w:t>we conducted two analyses</w:t>
      </w:r>
      <w:r w:rsidR="00CE20DB" w:rsidRPr="004D3130">
        <w:rPr>
          <w:rFonts w:cs="Domine"/>
          <w:color w:val="000000"/>
          <w:kern w:val="0"/>
          <w:szCs w:val="21"/>
        </w:rPr>
        <w:t xml:space="preserve"> on </w:t>
      </w:r>
      <w:r w:rsidR="004D3130">
        <w:rPr>
          <w:rFonts w:cs="Domine"/>
          <w:color w:val="000000"/>
          <w:kern w:val="0"/>
          <w:szCs w:val="21"/>
        </w:rPr>
        <w:t>these</w:t>
      </w:r>
      <w:r w:rsidR="00CE20DB" w:rsidRPr="004D3130">
        <w:rPr>
          <w:rFonts w:cs="Domine"/>
          <w:color w:val="000000"/>
          <w:kern w:val="0"/>
          <w:szCs w:val="21"/>
        </w:rPr>
        <w:t xml:space="preserve"> data</w:t>
      </w:r>
      <w:r w:rsidRPr="004D3130">
        <w:rPr>
          <w:rFonts w:cs="Domine"/>
          <w:color w:val="000000"/>
          <w:kern w:val="0"/>
          <w:szCs w:val="21"/>
        </w:rPr>
        <w:t xml:space="preserve">. First, for both the matchstick arithmetic and RAT tasks, we drew scatter plots indicating the relation between performance (i.e., the number of correct answers) and positive mood (i.e., P – N value) and calculated the correlation coefficients. Second, we divided </w:t>
      </w:r>
      <w:r w:rsidR="00AE3ADA">
        <w:rPr>
          <w:rFonts w:cs="Domine"/>
          <w:color w:val="000000"/>
          <w:kern w:val="0"/>
          <w:szCs w:val="21"/>
        </w:rPr>
        <w:t xml:space="preserve">the </w:t>
      </w:r>
      <w:r w:rsidRPr="004D3130">
        <w:rPr>
          <w:rFonts w:cs="Domine"/>
          <w:color w:val="000000"/>
          <w:kern w:val="0"/>
          <w:szCs w:val="21"/>
        </w:rPr>
        <w:t xml:space="preserve">data into three </w:t>
      </w:r>
      <w:r w:rsidR="00B853E1" w:rsidRPr="004D3130">
        <w:rPr>
          <w:rFonts w:cs="Domine"/>
          <w:color w:val="000000"/>
          <w:kern w:val="0"/>
          <w:szCs w:val="21"/>
        </w:rPr>
        <w:t xml:space="preserve">groups </w:t>
      </w:r>
      <w:r w:rsidRPr="004D3130">
        <w:rPr>
          <w:rFonts w:cs="Domine"/>
          <w:color w:val="000000"/>
          <w:kern w:val="0"/>
          <w:szCs w:val="21"/>
        </w:rPr>
        <w:t xml:space="preserve">(high, middle, low) according to the P – N value, and compared performance (i.e., the number of correct answers) across the positive mood groups with one-way ANOVA. In both analyses, data were combined between </w:t>
      </w:r>
      <w:proofErr w:type="spellStart"/>
      <w:r w:rsidRPr="004D3130">
        <w:rPr>
          <w:rFonts w:cs="Domine"/>
          <w:color w:val="000000"/>
          <w:kern w:val="0"/>
          <w:szCs w:val="21"/>
        </w:rPr>
        <w:t>tDCS</w:t>
      </w:r>
      <w:proofErr w:type="spellEnd"/>
      <w:r w:rsidRPr="004D3130">
        <w:rPr>
          <w:rFonts w:cs="Domine"/>
          <w:color w:val="000000"/>
          <w:kern w:val="0"/>
          <w:szCs w:val="21"/>
        </w:rPr>
        <w:t xml:space="preserve"> sessions and between montage</w:t>
      </w:r>
      <w:r w:rsidR="001B756D">
        <w:rPr>
          <w:rFonts w:cs="Domine"/>
          <w:color w:val="000000"/>
          <w:kern w:val="0"/>
          <w:szCs w:val="21"/>
        </w:rPr>
        <w:t xml:space="preserve"> types</w:t>
      </w:r>
      <w:r w:rsidRPr="004D3130">
        <w:rPr>
          <w:rFonts w:cs="Domine"/>
          <w:color w:val="000000"/>
          <w:kern w:val="0"/>
          <w:szCs w:val="21"/>
        </w:rPr>
        <w:t>.</w:t>
      </w:r>
    </w:p>
    <w:p w14:paraId="23EEC15F" w14:textId="6424568A" w:rsidR="00FD00AB" w:rsidRDefault="00086469" w:rsidP="00C3603F">
      <w:pPr>
        <w:spacing w:line="480" w:lineRule="auto"/>
        <w:ind w:firstLine="105"/>
        <w:rPr>
          <w:rFonts w:cs="Domine"/>
          <w:color w:val="000000"/>
          <w:kern w:val="0"/>
          <w:szCs w:val="21"/>
        </w:rPr>
      </w:pPr>
      <w:r w:rsidRPr="004D3130">
        <w:rPr>
          <w:rFonts w:cs="Domine"/>
          <w:color w:val="000000"/>
          <w:kern w:val="0"/>
          <w:szCs w:val="21"/>
        </w:rPr>
        <w:t xml:space="preserve"> </w:t>
      </w:r>
      <w:r w:rsidR="00EA697A" w:rsidRPr="00EA697A">
        <w:rPr>
          <w:rFonts w:cs="Domine"/>
          <w:kern w:val="0"/>
          <w:szCs w:val="21"/>
        </w:rPr>
        <w:t>S5 Fig</w:t>
      </w:r>
      <w:r w:rsidR="006D749A">
        <w:rPr>
          <w:rFonts w:cs="Domine"/>
          <w:color w:val="FF0000"/>
          <w:kern w:val="0"/>
          <w:szCs w:val="21"/>
        </w:rPr>
        <w:t xml:space="preserve"> </w:t>
      </w:r>
      <w:r w:rsidRPr="004D3130">
        <w:rPr>
          <w:rFonts w:cs="Domine"/>
          <w:color w:val="000000"/>
          <w:kern w:val="0"/>
          <w:szCs w:val="21"/>
        </w:rPr>
        <w:t xml:space="preserve">shows the results of the first analysis. For both the matchstick and RAT tasks, the number of correct answers </w:t>
      </w:r>
      <w:r w:rsidR="00AE3ADA">
        <w:rPr>
          <w:rFonts w:cs="Domine"/>
          <w:color w:val="000000"/>
          <w:kern w:val="0"/>
          <w:szCs w:val="21"/>
        </w:rPr>
        <w:t>was</w:t>
      </w:r>
      <w:r w:rsidR="00AE3ADA" w:rsidRPr="004D3130">
        <w:rPr>
          <w:rFonts w:cs="Domine"/>
          <w:color w:val="000000"/>
          <w:kern w:val="0"/>
          <w:szCs w:val="21"/>
        </w:rPr>
        <w:t xml:space="preserve"> </w:t>
      </w:r>
      <w:r w:rsidRPr="004D3130">
        <w:rPr>
          <w:rFonts w:cs="Domine"/>
          <w:color w:val="000000"/>
          <w:kern w:val="0"/>
          <w:szCs w:val="21"/>
        </w:rPr>
        <w:t>not correlate</w:t>
      </w:r>
      <w:r w:rsidR="00AE3ADA">
        <w:rPr>
          <w:rFonts w:cs="Domine"/>
          <w:color w:val="000000"/>
          <w:kern w:val="0"/>
          <w:szCs w:val="21"/>
        </w:rPr>
        <w:t>d</w:t>
      </w:r>
      <w:r w:rsidRPr="004D3130">
        <w:rPr>
          <w:rFonts w:cs="Domine"/>
          <w:color w:val="000000"/>
          <w:kern w:val="0"/>
          <w:szCs w:val="21"/>
        </w:rPr>
        <w:t xml:space="preserve"> with positive mood (r = </w:t>
      </w:r>
      <w:r w:rsidR="002855F7" w:rsidRPr="004D3130">
        <w:rPr>
          <w:rFonts w:cs="Domine"/>
          <w:color w:val="000000"/>
          <w:kern w:val="0"/>
          <w:szCs w:val="21"/>
        </w:rPr>
        <w:t>−</w:t>
      </w:r>
      <w:r w:rsidRPr="004D3130">
        <w:rPr>
          <w:rFonts w:cs="Domine"/>
          <w:color w:val="000000"/>
          <w:kern w:val="0"/>
          <w:szCs w:val="21"/>
        </w:rPr>
        <w:t>0.03, p = 0.74 for the matchstick arithmetic task; r = 0.02, p = 0.82 for the RAT task).</w:t>
      </w:r>
    </w:p>
    <w:p w14:paraId="1E7EB293" w14:textId="77777777" w:rsidR="00C3603F" w:rsidRPr="00C3603F" w:rsidRDefault="00C3603F" w:rsidP="00C3603F">
      <w:pPr>
        <w:spacing w:line="480" w:lineRule="auto"/>
        <w:ind w:firstLine="105"/>
        <w:rPr>
          <w:rFonts w:cs="Domine"/>
          <w:color w:val="000000"/>
          <w:kern w:val="0"/>
          <w:szCs w:val="21"/>
        </w:rPr>
      </w:pPr>
    </w:p>
    <w:p w14:paraId="15BADD8F" w14:textId="44A9E0DA" w:rsidR="00C3603F" w:rsidRPr="004D3130" w:rsidRDefault="00C3603F" w:rsidP="00BF4889">
      <w:pPr>
        <w:spacing w:line="480" w:lineRule="auto"/>
        <w:rPr>
          <w:rFonts w:ascii="Domine" w:hAnsi="Domine" w:cs="Domine" w:hint="eastAsia"/>
          <w:color w:val="000000"/>
          <w:kern w:val="0"/>
          <w:szCs w:val="21"/>
        </w:rPr>
      </w:pPr>
      <w:r>
        <w:rPr>
          <w:rFonts w:ascii="Domine" w:hAnsi="Domine" w:cs="Domine" w:hint="eastAsia"/>
          <w:noProof/>
          <w:color w:val="000000"/>
          <w:kern w:val="0"/>
          <w:szCs w:val="21"/>
        </w:rPr>
        <w:lastRenderedPageBreak/>
        <w:drawing>
          <wp:inline distT="0" distB="0" distL="0" distR="0" wp14:anchorId="7F73D654" wp14:editId="36250126">
            <wp:extent cx="5391150" cy="26098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p w14:paraId="197D30CE" w14:textId="2F516A2F" w:rsidR="00086469" w:rsidRPr="004D3130" w:rsidRDefault="006D749A" w:rsidP="00086469">
      <w:pPr>
        <w:spacing w:line="480" w:lineRule="auto"/>
        <w:rPr>
          <w:rFonts w:cs="Domine"/>
          <w:color w:val="000000"/>
          <w:kern w:val="0"/>
          <w:szCs w:val="21"/>
        </w:rPr>
      </w:pPr>
      <w:r w:rsidRPr="00EA697A">
        <w:rPr>
          <w:rFonts w:cs="Domine"/>
          <w:b/>
          <w:kern w:val="0"/>
          <w:szCs w:val="21"/>
        </w:rPr>
        <w:t xml:space="preserve">S5 Fig. </w:t>
      </w:r>
      <w:r w:rsidR="00086469" w:rsidRPr="004D3130">
        <w:rPr>
          <w:rFonts w:cs="Domine"/>
          <w:b/>
          <w:color w:val="000000"/>
          <w:kern w:val="0"/>
          <w:szCs w:val="21"/>
        </w:rPr>
        <w:t xml:space="preserve">Scatterplots </w:t>
      </w:r>
      <w:r w:rsidR="002855F7" w:rsidRPr="004D3130">
        <w:rPr>
          <w:rFonts w:cs="Domine"/>
          <w:b/>
          <w:color w:val="000000"/>
          <w:kern w:val="0"/>
          <w:szCs w:val="21"/>
        </w:rPr>
        <w:t xml:space="preserve">showing </w:t>
      </w:r>
      <w:r w:rsidR="00086469" w:rsidRPr="004D3130">
        <w:rPr>
          <w:rFonts w:cs="Domine"/>
          <w:b/>
          <w:color w:val="000000"/>
          <w:kern w:val="0"/>
          <w:szCs w:val="21"/>
        </w:rPr>
        <w:t>the relation</w:t>
      </w:r>
      <w:r w:rsidR="002855F7" w:rsidRPr="004D3130">
        <w:rPr>
          <w:rFonts w:cs="Domine"/>
          <w:b/>
          <w:color w:val="000000"/>
          <w:kern w:val="0"/>
          <w:szCs w:val="21"/>
        </w:rPr>
        <w:t>ship</w:t>
      </w:r>
      <w:r w:rsidR="00086469" w:rsidRPr="004D3130">
        <w:rPr>
          <w:rFonts w:cs="Domine"/>
          <w:b/>
          <w:color w:val="000000"/>
          <w:kern w:val="0"/>
          <w:szCs w:val="21"/>
        </w:rPr>
        <w:t xml:space="preserve"> between the number of correct answers and positive mood (P – N). </w:t>
      </w:r>
      <w:r w:rsidR="00086469" w:rsidRPr="004D3130">
        <w:rPr>
          <w:rFonts w:cs="Domine"/>
          <w:color w:val="000000"/>
          <w:kern w:val="0"/>
          <w:szCs w:val="21"/>
        </w:rPr>
        <w:t>Data were combined between the two montage</w:t>
      </w:r>
      <w:r w:rsidR="001B756D">
        <w:rPr>
          <w:rFonts w:cs="Domine"/>
          <w:color w:val="000000"/>
          <w:kern w:val="0"/>
          <w:szCs w:val="21"/>
        </w:rPr>
        <w:t xml:space="preserve"> types</w:t>
      </w:r>
      <w:r w:rsidR="00086469" w:rsidRPr="004D3130">
        <w:rPr>
          <w:rFonts w:cs="Domine"/>
          <w:color w:val="000000"/>
          <w:kern w:val="0"/>
          <w:szCs w:val="21"/>
        </w:rPr>
        <w:t xml:space="preserve"> and between </w:t>
      </w:r>
      <w:proofErr w:type="spellStart"/>
      <w:r w:rsidR="00086469" w:rsidRPr="004D3130">
        <w:rPr>
          <w:rFonts w:cs="Domine"/>
          <w:color w:val="000000"/>
          <w:kern w:val="0"/>
          <w:szCs w:val="21"/>
        </w:rPr>
        <w:t>tDCS</w:t>
      </w:r>
      <w:proofErr w:type="spellEnd"/>
      <w:r w:rsidR="00086469" w:rsidRPr="004D3130">
        <w:rPr>
          <w:rFonts w:cs="Domine"/>
          <w:color w:val="000000"/>
          <w:kern w:val="0"/>
          <w:szCs w:val="21"/>
        </w:rPr>
        <w:t xml:space="preserve"> sessions. Results for the matchstick arithmetic and RAT tasks are shown in the left and right panels, respectively.</w:t>
      </w:r>
    </w:p>
    <w:p w14:paraId="72C619C3" w14:textId="77777777" w:rsidR="00086469" w:rsidRPr="004D3130" w:rsidRDefault="00086469" w:rsidP="00086469">
      <w:pPr>
        <w:spacing w:line="480" w:lineRule="auto"/>
        <w:rPr>
          <w:rFonts w:cs="Domine"/>
          <w:color w:val="000000"/>
          <w:kern w:val="0"/>
          <w:szCs w:val="21"/>
        </w:rPr>
      </w:pPr>
    </w:p>
    <w:p w14:paraId="34D74042" w14:textId="20BD99E4" w:rsidR="00086469" w:rsidRPr="004D3130" w:rsidRDefault="00EA697A" w:rsidP="008B7DDA">
      <w:pPr>
        <w:spacing w:line="480" w:lineRule="auto"/>
        <w:ind w:firstLine="210"/>
        <w:rPr>
          <w:rFonts w:cs="Domine"/>
          <w:color w:val="000000"/>
          <w:kern w:val="0"/>
          <w:szCs w:val="21"/>
        </w:rPr>
      </w:pPr>
      <w:r w:rsidRPr="00EA697A">
        <w:rPr>
          <w:rFonts w:cs="Domine"/>
          <w:kern w:val="0"/>
          <w:szCs w:val="21"/>
        </w:rPr>
        <w:t>S6 Fig</w:t>
      </w:r>
      <w:r w:rsidR="006D749A" w:rsidRPr="006D749A">
        <w:rPr>
          <w:rFonts w:cs="Domine"/>
          <w:color w:val="FF0000"/>
          <w:kern w:val="0"/>
          <w:szCs w:val="21"/>
        </w:rPr>
        <w:t xml:space="preserve"> </w:t>
      </w:r>
      <w:r w:rsidR="00086469" w:rsidRPr="004D3130">
        <w:rPr>
          <w:rFonts w:cs="Domine"/>
          <w:color w:val="000000"/>
          <w:kern w:val="0"/>
          <w:szCs w:val="21"/>
        </w:rPr>
        <w:t>shows the results of the second analysis. For both the matchstick arithmetic and RAT tasks, one-way ANOVA revealed that the number of correct answers did not differ across positive mood groups (</w:t>
      </w:r>
      <w:proofErr w:type="gramStart"/>
      <w:r w:rsidR="00086469" w:rsidRPr="004D3130">
        <w:rPr>
          <w:rFonts w:cs="Domine"/>
          <w:color w:val="000000"/>
          <w:kern w:val="0"/>
          <w:szCs w:val="21"/>
        </w:rPr>
        <w:t>F</w:t>
      </w:r>
      <w:r w:rsidR="00693B68" w:rsidRPr="004D3130">
        <w:rPr>
          <w:rFonts w:cs="Domine"/>
          <w:color w:val="000000"/>
          <w:kern w:val="0"/>
          <w:szCs w:val="21"/>
        </w:rPr>
        <w:t>[</w:t>
      </w:r>
      <w:proofErr w:type="gramEnd"/>
      <w:r w:rsidR="00086469" w:rsidRPr="004D3130">
        <w:rPr>
          <w:rFonts w:cs="Domine"/>
          <w:color w:val="000000"/>
          <w:kern w:val="0"/>
          <w:szCs w:val="21"/>
        </w:rPr>
        <w:t>2, 111</w:t>
      </w:r>
      <w:r w:rsidR="00693B68" w:rsidRPr="004D3130">
        <w:rPr>
          <w:rFonts w:cs="Domine"/>
          <w:color w:val="000000"/>
          <w:kern w:val="0"/>
          <w:szCs w:val="21"/>
        </w:rPr>
        <w:t>]</w:t>
      </w:r>
      <w:r w:rsidR="00086469" w:rsidRPr="004D3130">
        <w:rPr>
          <w:rFonts w:cs="Domine"/>
          <w:color w:val="000000"/>
          <w:kern w:val="0"/>
          <w:szCs w:val="21"/>
        </w:rPr>
        <w:t xml:space="preserve"> = 1.33, p = 0.2688 for the matchstick arithmetic task; F</w:t>
      </w:r>
      <w:r w:rsidR="00693B68" w:rsidRPr="004D3130">
        <w:rPr>
          <w:rFonts w:cs="Domine"/>
          <w:color w:val="000000"/>
          <w:kern w:val="0"/>
          <w:szCs w:val="21"/>
        </w:rPr>
        <w:t>[</w:t>
      </w:r>
      <w:r w:rsidR="00086469" w:rsidRPr="004D3130">
        <w:rPr>
          <w:rFonts w:cs="Domine"/>
          <w:color w:val="000000"/>
          <w:kern w:val="0"/>
          <w:szCs w:val="21"/>
        </w:rPr>
        <w:t>2, 123</w:t>
      </w:r>
      <w:r w:rsidR="00693B68" w:rsidRPr="004D3130">
        <w:rPr>
          <w:rFonts w:cs="Domine"/>
          <w:color w:val="000000"/>
          <w:kern w:val="0"/>
          <w:szCs w:val="21"/>
        </w:rPr>
        <w:t>]</w:t>
      </w:r>
      <w:r w:rsidR="00086469" w:rsidRPr="004D3130">
        <w:rPr>
          <w:rFonts w:cs="Domine"/>
          <w:color w:val="000000"/>
          <w:kern w:val="0"/>
          <w:szCs w:val="21"/>
        </w:rPr>
        <w:t xml:space="preserve"> = 0.68, p = 0.5064 for the RAT task).</w:t>
      </w:r>
    </w:p>
    <w:p w14:paraId="40C8E58A" w14:textId="77777777" w:rsidR="00FD00AB" w:rsidRPr="004D3130" w:rsidRDefault="00FD00AB" w:rsidP="00086469">
      <w:pPr>
        <w:spacing w:line="480" w:lineRule="auto"/>
        <w:ind w:firstLine="210"/>
        <w:rPr>
          <w:rFonts w:ascii="Domine" w:hAnsi="Domine" w:cs="Domine" w:hint="eastAsia"/>
          <w:color w:val="000000"/>
          <w:kern w:val="0"/>
          <w:szCs w:val="21"/>
        </w:rPr>
      </w:pPr>
    </w:p>
    <w:p w14:paraId="761AB67F" w14:textId="09AAAF28" w:rsidR="00FD00AB" w:rsidRDefault="00FD00AB" w:rsidP="00296BD8">
      <w:pPr>
        <w:spacing w:line="480" w:lineRule="auto"/>
        <w:rPr>
          <w:rFonts w:ascii="Domine" w:hAnsi="Domine" w:cs="Domine" w:hint="eastAsia"/>
          <w:color w:val="000000"/>
          <w:kern w:val="0"/>
          <w:szCs w:val="21"/>
        </w:rPr>
      </w:pPr>
    </w:p>
    <w:p w14:paraId="0910059C" w14:textId="1D75668A" w:rsidR="00F33020" w:rsidRPr="004D3130" w:rsidRDefault="00F33020" w:rsidP="00296BD8">
      <w:pPr>
        <w:spacing w:line="480" w:lineRule="auto"/>
        <w:rPr>
          <w:rFonts w:ascii="Domine" w:hAnsi="Domine" w:cs="Domine" w:hint="eastAsia"/>
          <w:color w:val="000000"/>
          <w:kern w:val="0"/>
          <w:szCs w:val="21"/>
        </w:rPr>
      </w:pPr>
      <w:r>
        <w:rPr>
          <w:rFonts w:ascii="Domine" w:hAnsi="Domine" w:cs="Domine" w:hint="eastAsia"/>
          <w:noProof/>
          <w:color w:val="000000"/>
          <w:kern w:val="0"/>
          <w:szCs w:val="21"/>
        </w:rPr>
        <w:lastRenderedPageBreak/>
        <w:drawing>
          <wp:inline distT="0" distB="0" distL="0" distR="0" wp14:anchorId="7D2408C0" wp14:editId="0DC6C4B7">
            <wp:extent cx="5391150" cy="26098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p w14:paraId="79D81E65" w14:textId="668E0E88" w:rsidR="00086469" w:rsidRPr="004D3130" w:rsidRDefault="006D749A" w:rsidP="00086469">
      <w:pPr>
        <w:spacing w:line="480" w:lineRule="auto"/>
        <w:rPr>
          <w:rFonts w:cs="Domine"/>
          <w:color w:val="000000"/>
          <w:kern w:val="0"/>
          <w:szCs w:val="21"/>
        </w:rPr>
      </w:pPr>
      <w:r w:rsidRPr="00EA697A">
        <w:rPr>
          <w:rFonts w:cs="Domine"/>
          <w:b/>
          <w:kern w:val="0"/>
          <w:szCs w:val="21"/>
        </w:rPr>
        <w:t>S6 Fig.</w:t>
      </w:r>
      <w:r>
        <w:rPr>
          <w:rFonts w:cs="Domine"/>
          <w:b/>
          <w:color w:val="FF0000"/>
          <w:kern w:val="0"/>
          <w:szCs w:val="21"/>
        </w:rPr>
        <w:t xml:space="preserve"> </w:t>
      </w:r>
      <w:r w:rsidR="00086469" w:rsidRPr="004D3130">
        <w:rPr>
          <w:rFonts w:cs="Domine"/>
          <w:b/>
          <w:color w:val="000000"/>
          <w:kern w:val="0"/>
          <w:szCs w:val="21"/>
        </w:rPr>
        <w:t xml:space="preserve">Numbers of correct answers for high, middle and low positive mood groups. </w:t>
      </w:r>
      <w:r w:rsidR="00086469" w:rsidRPr="004D3130">
        <w:rPr>
          <w:rFonts w:cs="Domine"/>
          <w:color w:val="000000"/>
          <w:kern w:val="0"/>
          <w:szCs w:val="21"/>
        </w:rPr>
        <w:t>Each gray</w:t>
      </w:r>
      <w:r w:rsidR="00086469" w:rsidRPr="004D3130">
        <w:rPr>
          <w:rFonts w:cs="Domine"/>
          <w:color w:val="FF0000"/>
          <w:kern w:val="0"/>
          <w:szCs w:val="21"/>
        </w:rPr>
        <w:t xml:space="preserve"> </w:t>
      </w:r>
      <w:r w:rsidR="00086469" w:rsidRPr="004D3130">
        <w:rPr>
          <w:rFonts w:cs="Domine"/>
          <w:color w:val="000000"/>
          <w:kern w:val="0"/>
          <w:szCs w:val="21"/>
        </w:rPr>
        <w:t>column represents the number of correct answers averaged within each mood group. The error bar</w:t>
      </w:r>
      <w:r w:rsidR="00086469" w:rsidRPr="004D3130">
        <w:rPr>
          <w:rFonts w:cs="Domine"/>
          <w:strike/>
          <w:color w:val="000000"/>
          <w:kern w:val="0"/>
          <w:szCs w:val="21"/>
        </w:rPr>
        <w:t>s</w:t>
      </w:r>
      <w:r w:rsidR="00086469" w:rsidRPr="004D3130">
        <w:rPr>
          <w:rFonts w:cs="Domine"/>
          <w:color w:val="000000"/>
          <w:kern w:val="0"/>
          <w:szCs w:val="21"/>
        </w:rPr>
        <w:t xml:space="preserve"> represent standard deviations. Results for the matchstick arithmetic and RAT tasks are shown in the left and right panels, respectively.</w:t>
      </w:r>
    </w:p>
    <w:p w14:paraId="7312F70F" w14:textId="77777777" w:rsidR="00086469" w:rsidRPr="004D3130" w:rsidRDefault="00086469" w:rsidP="00086469">
      <w:pPr>
        <w:spacing w:line="480" w:lineRule="auto"/>
        <w:rPr>
          <w:rFonts w:cs="Domine"/>
          <w:color w:val="000000"/>
          <w:kern w:val="0"/>
          <w:szCs w:val="21"/>
        </w:rPr>
      </w:pPr>
      <w:bookmarkStart w:id="1" w:name="_GoBack"/>
      <w:bookmarkEnd w:id="1"/>
    </w:p>
    <w:p w14:paraId="399CE9B8" w14:textId="26874C06" w:rsidR="00086469" w:rsidRPr="004D3130" w:rsidRDefault="00086469" w:rsidP="00086469">
      <w:pPr>
        <w:spacing w:line="480" w:lineRule="auto"/>
        <w:ind w:firstLine="210"/>
        <w:rPr>
          <w:rFonts w:cs="Domine"/>
          <w:color w:val="000000"/>
          <w:kern w:val="0"/>
          <w:szCs w:val="21"/>
        </w:rPr>
      </w:pPr>
      <w:r w:rsidRPr="004D3130">
        <w:rPr>
          <w:rFonts w:cs="Domine"/>
          <w:color w:val="000000"/>
          <w:kern w:val="0"/>
          <w:szCs w:val="21"/>
        </w:rPr>
        <w:t xml:space="preserve">Thus, </w:t>
      </w:r>
      <w:r w:rsidR="009F173B">
        <w:rPr>
          <w:rFonts w:cs="Domine"/>
          <w:color w:val="000000"/>
          <w:kern w:val="0"/>
          <w:szCs w:val="21"/>
        </w:rPr>
        <w:t>the current</w:t>
      </w:r>
      <w:r w:rsidR="009F173B" w:rsidRPr="004D3130">
        <w:rPr>
          <w:rFonts w:cs="Domine"/>
          <w:color w:val="000000"/>
          <w:kern w:val="0"/>
          <w:szCs w:val="21"/>
        </w:rPr>
        <w:t xml:space="preserve"> </w:t>
      </w:r>
      <w:r w:rsidRPr="004D3130">
        <w:rPr>
          <w:rFonts w:cs="Domine"/>
          <w:color w:val="000000"/>
          <w:kern w:val="0"/>
          <w:szCs w:val="21"/>
        </w:rPr>
        <w:t>results indicate that</w:t>
      </w:r>
      <w:r w:rsidRPr="004D3130">
        <w:rPr>
          <w:rFonts w:cs="Domine"/>
          <w:kern w:val="0"/>
          <w:szCs w:val="21"/>
        </w:rPr>
        <w:t xml:space="preserve"> verbal </w:t>
      </w:r>
      <w:r w:rsidR="009F173B">
        <w:rPr>
          <w:rFonts w:cs="Domine"/>
          <w:kern w:val="0"/>
          <w:szCs w:val="21"/>
        </w:rPr>
        <w:t xml:space="preserve">as well as non-verbal </w:t>
      </w:r>
      <w:r w:rsidRPr="004D3130">
        <w:rPr>
          <w:rFonts w:cs="Domine"/>
          <w:kern w:val="0"/>
          <w:szCs w:val="21"/>
        </w:rPr>
        <w:t xml:space="preserve">insight </w:t>
      </w:r>
      <w:r w:rsidR="006C5E83" w:rsidRPr="004D3130">
        <w:rPr>
          <w:rFonts w:cs="Domine"/>
          <w:kern w:val="0"/>
          <w:szCs w:val="21"/>
        </w:rPr>
        <w:t>were un</w:t>
      </w:r>
      <w:r w:rsidRPr="004D3130">
        <w:rPr>
          <w:rFonts w:cs="Domine"/>
          <w:kern w:val="0"/>
          <w:szCs w:val="21"/>
        </w:rPr>
        <w:t xml:space="preserve">affected by positive mood. The </w:t>
      </w:r>
      <w:r w:rsidR="00380D8E">
        <w:rPr>
          <w:rFonts w:cs="Domine"/>
          <w:kern w:val="0"/>
          <w:szCs w:val="21"/>
        </w:rPr>
        <w:t>former</w:t>
      </w:r>
      <w:r w:rsidR="00380D8E" w:rsidRPr="004D3130">
        <w:rPr>
          <w:rFonts w:cs="Domine"/>
          <w:kern w:val="0"/>
          <w:szCs w:val="21"/>
        </w:rPr>
        <w:t xml:space="preserve"> </w:t>
      </w:r>
      <w:r w:rsidR="006C5E83" w:rsidRPr="004D3130">
        <w:rPr>
          <w:rFonts w:cs="Domine"/>
          <w:kern w:val="0"/>
          <w:szCs w:val="21"/>
        </w:rPr>
        <w:t xml:space="preserve">result </w:t>
      </w:r>
      <w:r w:rsidRPr="004D3130">
        <w:rPr>
          <w:rFonts w:cs="Domine"/>
          <w:kern w:val="0"/>
          <w:szCs w:val="21"/>
        </w:rPr>
        <w:t xml:space="preserve">is inconsistent with </w:t>
      </w:r>
      <w:r w:rsidR="009F173B">
        <w:rPr>
          <w:rFonts w:cs="Domine"/>
          <w:kern w:val="0"/>
          <w:szCs w:val="21"/>
        </w:rPr>
        <w:t>a</w:t>
      </w:r>
      <w:r w:rsidR="009F173B" w:rsidRPr="004D3130">
        <w:rPr>
          <w:rFonts w:cs="Domine"/>
          <w:kern w:val="0"/>
          <w:szCs w:val="21"/>
        </w:rPr>
        <w:t xml:space="preserve"> </w:t>
      </w:r>
      <w:r w:rsidRPr="004D3130">
        <w:rPr>
          <w:rFonts w:cs="Domine"/>
          <w:kern w:val="0"/>
          <w:szCs w:val="21"/>
        </w:rPr>
        <w:t xml:space="preserve">previous finding </w:t>
      </w:r>
      <w:r w:rsidR="00C7151F" w:rsidRPr="004D3130">
        <w:rPr>
          <w:rFonts w:cs="Domine"/>
          <w:kern w:val="0"/>
          <w:szCs w:val="21"/>
        </w:rPr>
        <w:t xml:space="preserve">reported </w:t>
      </w:r>
      <w:r w:rsidRPr="004D3130">
        <w:rPr>
          <w:rFonts w:cs="Domine"/>
          <w:kern w:val="0"/>
          <w:szCs w:val="21"/>
        </w:rPr>
        <w:t xml:space="preserve">by </w:t>
      </w:r>
      <w:proofErr w:type="spellStart"/>
      <w:r w:rsidRPr="004D3130">
        <w:rPr>
          <w:rFonts w:cs="Domine"/>
          <w:kern w:val="0"/>
          <w:szCs w:val="21"/>
        </w:rPr>
        <w:t>Subramaniam</w:t>
      </w:r>
      <w:proofErr w:type="spellEnd"/>
      <w:r w:rsidRPr="004D3130">
        <w:rPr>
          <w:rFonts w:cs="Domine"/>
          <w:kern w:val="0"/>
          <w:szCs w:val="21"/>
        </w:rPr>
        <w:t xml:space="preserve"> et al. </w:t>
      </w:r>
      <w:r w:rsidRPr="00CD6873">
        <w:rPr>
          <w:rFonts w:cs="Domine"/>
          <w:kern w:val="0"/>
          <w:szCs w:val="21"/>
        </w:rPr>
        <w:t>[</w:t>
      </w:r>
      <w:r w:rsidR="006E519F" w:rsidRPr="00CD6873">
        <w:rPr>
          <w:rFonts w:cs="Domine"/>
          <w:kern w:val="0"/>
          <w:szCs w:val="21"/>
        </w:rPr>
        <w:t>6</w:t>
      </w:r>
      <w:r w:rsidRPr="00CD6873">
        <w:rPr>
          <w:rFonts w:cs="Domine"/>
          <w:kern w:val="0"/>
          <w:szCs w:val="21"/>
        </w:rPr>
        <w:t>]</w:t>
      </w:r>
      <w:r w:rsidRPr="004D3130">
        <w:rPr>
          <w:rFonts w:cs="Domine"/>
          <w:kern w:val="0"/>
          <w:szCs w:val="21"/>
        </w:rPr>
        <w:t>. Th</w:t>
      </w:r>
      <w:r w:rsidR="009F173B">
        <w:rPr>
          <w:rFonts w:cs="Domine"/>
          <w:kern w:val="0"/>
          <w:szCs w:val="21"/>
        </w:rPr>
        <w:t>is</w:t>
      </w:r>
      <w:r w:rsidRPr="004D3130">
        <w:rPr>
          <w:rFonts w:cs="Domine"/>
          <w:kern w:val="0"/>
          <w:szCs w:val="21"/>
        </w:rPr>
        <w:t xml:space="preserve"> </w:t>
      </w:r>
      <w:r w:rsidR="003C1EBF" w:rsidRPr="004D3130">
        <w:rPr>
          <w:rFonts w:cs="Domine"/>
          <w:kern w:val="0"/>
          <w:szCs w:val="21"/>
        </w:rPr>
        <w:t xml:space="preserve">discrepancy </w:t>
      </w:r>
      <w:r w:rsidRPr="004D3130">
        <w:rPr>
          <w:rFonts w:cs="Domine"/>
          <w:kern w:val="0"/>
          <w:szCs w:val="21"/>
        </w:rPr>
        <w:t xml:space="preserve">in mood effects </w:t>
      </w:r>
      <w:r w:rsidR="0090666C" w:rsidRPr="004D3130">
        <w:rPr>
          <w:rFonts w:cs="Domine"/>
          <w:kern w:val="0"/>
          <w:szCs w:val="21"/>
        </w:rPr>
        <w:t xml:space="preserve">may </w:t>
      </w:r>
      <w:r w:rsidRPr="004D3130">
        <w:rPr>
          <w:rFonts w:cs="Domine"/>
          <w:kern w:val="0"/>
          <w:szCs w:val="21"/>
        </w:rPr>
        <w:t xml:space="preserve">be </w:t>
      </w:r>
      <w:r w:rsidR="009F173B">
        <w:rPr>
          <w:rFonts w:cs="Domine"/>
          <w:kern w:val="0"/>
          <w:szCs w:val="21"/>
        </w:rPr>
        <w:t>related</w:t>
      </w:r>
      <w:r w:rsidR="009F173B" w:rsidRPr="004D3130">
        <w:rPr>
          <w:rFonts w:cs="Domine"/>
          <w:kern w:val="0"/>
          <w:szCs w:val="21"/>
        </w:rPr>
        <w:t xml:space="preserve"> </w:t>
      </w:r>
      <w:r w:rsidRPr="004D3130">
        <w:rPr>
          <w:rFonts w:cs="Domine"/>
          <w:kern w:val="0"/>
          <w:szCs w:val="21"/>
        </w:rPr>
        <w:t>to differences in task between the two studies. First, for both the RAT task and PANAS questionnaire, the previous study used</w:t>
      </w:r>
      <w:r w:rsidR="009F7871" w:rsidRPr="004D3130">
        <w:rPr>
          <w:rFonts w:cs="Domine"/>
          <w:kern w:val="0"/>
          <w:szCs w:val="21"/>
        </w:rPr>
        <w:t xml:space="preserve"> the</w:t>
      </w:r>
      <w:r w:rsidRPr="004D3130">
        <w:rPr>
          <w:rFonts w:cs="Domine"/>
          <w:kern w:val="0"/>
          <w:szCs w:val="21"/>
        </w:rPr>
        <w:t xml:space="preserve"> original (i.e., English) version</w:t>
      </w:r>
      <w:r w:rsidR="00601756" w:rsidRPr="004D3130">
        <w:rPr>
          <w:rFonts w:cs="Domine"/>
          <w:kern w:val="0"/>
          <w:szCs w:val="21"/>
        </w:rPr>
        <w:t>s</w:t>
      </w:r>
      <w:r w:rsidRPr="004D3130">
        <w:rPr>
          <w:rFonts w:cs="Domine"/>
          <w:kern w:val="0"/>
          <w:szCs w:val="21"/>
        </w:rPr>
        <w:t xml:space="preserve">, whereas </w:t>
      </w:r>
      <w:r w:rsidR="00601756" w:rsidRPr="004D3130">
        <w:rPr>
          <w:rFonts w:cs="Domine"/>
          <w:kern w:val="0"/>
          <w:szCs w:val="21"/>
        </w:rPr>
        <w:t xml:space="preserve">the current study </w:t>
      </w:r>
      <w:r w:rsidRPr="004D3130">
        <w:rPr>
          <w:rFonts w:cs="Domine"/>
          <w:kern w:val="0"/>
          <w:szCs w:val="21"/>
        </w:rPr>
        <w:t>used Japanese version</w:t>
      </w:r>
      <w:r w:rsidR="000C2355" w:rsidRPr="004D3130">
        <w:rPr>
          <w:rFonts w:cs="Domine"/>
          <w:kern w:val="0"/>
          <w:szCs w:val="21"/>
        </w:rPr>
        <w:t>s</w:t>
      </w:r>
      <w:r w:rsidRPr="004D3130">
        <w:rPr>
          <w:rFonts w:cs="Domine"/>
          <w:kern w:val="0"/>
          <w:szCs w:val="21"/>
        </w:rPr>
        <w:t>.</w:t>
      </w:r>
      <w:r w:rsidRPr="004D3130">
        <w:rPr>
          <w:rFonts w:cs="Domine"/>
          <w:color w:val="FF0000"/>
          <w:kern w:val="0"/>
          <w:szCs w:val="21"/>
        </w:rPr>
        <w:t xml:space="preserve"> </w:t>
      </w:r>
      <w:r w:rsidRPr="004D3130">
        <w:rPr>
          <w:rFonts w:cs="Domine"/>
          <w:kern w:val="0"/>
          <w:szCs w:val="21"/>
        </w:rPr>
        <w:t xml:space="preserve">In addition, our data </w:t>
      </w:r>
      <w:r w:rsidR="00FC4B6E" w:rsidRPr="004D3130">
        <w:rPr>
          <w:rFonts w:cs="Domine"/>
          <w:kern w:val="0"/>
          <w:szCs w:val="21"/>
        </w:rPr>
        <w:t xml:space="preserve">may have </w:t>
      </w:r>
      <w:r w:rsidRPr="004D3130">
        <w:rPr>
          <w:rFonts w:cs="Domine"/>
          <w:kern w:val="0"/>
          <w:szCs w:val="21"/>
        </w:rPr>
        <w:t>include</w:t>
      </w:r>
      <w:r w:rsidR="00FC4B6E" w:rsidRPr="004D3130">
        <w:rPr>
          <w:rFonts w:cs="Domine"/>
          <w:kern w:val="0"/>
          <w:szCs w:val="21"/>
        </w:rPr>
        <w:t>d</w:t>
      </w:r>
      <w:r w:rsidRPr="004D3130">
        <w:rPr>
          <w:rFonts w:cs="Domine"/>
          <w:kern w:val="0"/>
          <w:szCs w:val="21"/>
        </w:rPr>
        <w:t xml:space="preserve"> non-insight solutions as well as insight solutions</w:t>
      </w:r>
      <w:r w:rsidR="00FC4B6E" w:rsidRPr="004D3130">
        <w:rPr>
          <w:rFonts w:cs="Domine"/>
          <w:kern w:val="0"/>
          <w:szCs w:val="21"/>
        </w:rPr>
        <w:t>,</w:t>
      </w:r>
      <w:r w:rsidRPr="004D3130">
        <w:rPr>
          <w:rFonts w:cs="Domine"/>
          <w:kern w:val="0"/>
          <w:szCs w:val="21"/>
        </w:rPr>
        <w:t xml:space="preserve"> because we did not ask subjects to report directly which strategy (i.e., insight vs. non-insight) they used to achieve solutions</w:t>
      </w:r>
      <w:r w:rsidR="00FC4B6E" w:rsidRPr="004D3130">
        <w:rPr>
          <w:rFonts w:cs="Domine"/>
          <w:kern w:val="0"/>
          <w:szCs w:val="21"/>
        </w:rPr>
        <w:t>.</w:t>
      </w:r>
      <w:r w:rsidRPr="004D3130">
        <w:rPr>
          <w:rFonts w:cs="Domine"/>
          <w:kern w:val="0"/>
          <w:szCs w:val="21"/>
        </w:rPr>
        <w:t xml:space="preserve"> </w:t>
      </w:r>
      <w:r w:rsidR="00FC4B6E" w:rsidRPr="004D3130">
        <w:rPr>
          <w:rFonts w:cs="Domine"/>
          <w:kern w:val="0"/>
          <w:szCs w:val="21"/>
        </w:rPr>
        <w:t xml:space="preserve">In contrast, the </w:t>
      </w:r>
      <w:r w:rsidRPr="004D3130">
        <w:rPr>
          <w:rFonts w:cs="Domine"/>
          <w:kern w:val="0"/>
          <w:szCs w:val="21"/>
        </w:rPr>
        <w:t xml:space="preserve">previous study included only insight solutions. Thus, further studies are </w:t>
      </w:r>
      <w:r w:rsidR="00FC4B6E" w:rsidRPr="004D3130">
        <w:rPr>
          <w:rFonts w:cs="Domine"/>
          <w:kern w:val="0"/>
          <w:szCs w:val="21"/>
        </w:rPr>
        <w:lastRenderedPageBreak/>
        <w:t xml:space="preserve">required </w:t>
      </w:r>
      <w:r w:rsidRPr="004D3130">
        <w:rPr>
          <w:rFonts w:cs="Domine"/>
          <w:kern w:val="0"/>
          <w:szCs w:val="21"/>
        </w:rPr>
        <w:t>to determine whether positive mood affects insight.</w:t>
      </w:r>
    </w:p>
    <w:p w14:paraId="35029495" w14:textId="77777777" w:rsidR="00A04491" w:rsidRPr="006C67F9" w:rsidRDefault="00A04491" w:rsidP="008B7DDA">
      <w:pPr>
        <w:spacing w:line="480" w:lineRule="auto"/>
        <w:rPr>
          <w:rFonts w:cs="Domine"/>
          <w:color w:val="000000"/>
          <w:kern w:val="0"/>
          <w:szCs w:val="21"/>
        </w:rPr>
      </w:pPr>
    </w:p>
    <w:p w14:paraId="4D8C2976" w14:textId="77777777" w:rsidR="00086469" w:rsidRPr="004D3130" w:rsidRDefault="00FD00AB" w:rsidP="00086469">
      <w:pPr>
        <w:spacing w:line="480" w:lineRule="auto"/>
        <w:rPr>
          <w:rFonts w:cs="Domine"/>
          <w:kern w:val="0"/>
          <w:sz w:val="36"/>
          <w:szCs w:val="36"/>
        </w:rPr>
      </w:pPr>
      <w:r w:rsidRPr="004D3130">
        <w:rPr>
          <w:rFonts w:cs="Domine"/>
          <w:b/>
          <w:kern w:val="0"/>
          <w:sz w:val="36"/>
          <w:szCs w:val="36"/>
        </w:rPr>
        <w:t>R</w:t>
      </w:r>
      <w:r w:rsidR="00086469" w:rsidRPr="004D3130">
        <w:rPr>
          <w:rFonts w:cs="Domine"/>
          <w:b/>
          <w:kern w:val="0"/>
          <w:sz w:val="36"/>
          <w:szCs w:val="36"/>
        </w:rPr>
        <w:t>eferences</w:t>
      </w:r>
    </w:p>
    <w:p w14:paraId="507DE83F" w14:textId="67DD7ECD" w:rsidR="00BF7026" w:rsidRPr="00651572" w:rsidRDefault="00BF7026" w:rsidP="00086469">
      <w:pPr>
        <w:spacing w:line="480" w:lineRule="auto"/>
        <w:rPr>
          <w:rFonts w:cs="Domine"/>
          <w:kern w:val="0"/>
          <w:szCs w:val="21"/>
        </w:rPr>
      </w:pPr>
      <w:r w:rsidRPr="00651572">
        <w:rPr>
          <w:rFonts w:cs="Domine" w:hint="eastAsia"/>
          <w:kern w:val="0"/>
          <w:szCs w:val="21"/>
        </w:rPr>
        <w:t xml:space="preserve">1. </w:t>
      </w:r>
      <w:r w:rsidRPr="00651572">
        <w:rPr>
          <w:rFonts w:cs="Domine"/>
          <w:kern w:val="0"/>
          <w:szCs w:val="21"/>
        </w:rPr>
        <w:t xml:space="preserve">Jung Y, Kim J, </w:t>
      </w:r>
      <w:proofErr w:type="spellStart"/>
      <w:r w:rsidRPr="00651572">
        <w:rPr>
          <w:rFonts w:cs="Domine"/>
          <w:kern w:val="0"/>
          <w:szCs w:val="21"/>
        </w:rPr>
        <w:t>Im</w:t>
      </w:r>
      <w:proofErr w:type="spellEnd"/>
      <w:r w:rsidRPr="00651572">
        <w:rPr>
          <w:rFonts w:cs="Domine"/>
          <w:kern w:val="0"/>
          <w:szCs w:val="21"/>
        </w:rPr>
        <w:t xml:space="preserve"> C. A MATLAB toolbox for simulating local electric fields generated by transcranial direct current stimulation (</w:t>
      </w:r>
      <w:proofErr w:type="spellStart"/>
      <w:r w:rsidRPr="00651572">
        <w:rPr>
          <w:rFonts w:cs="Domine"/>
          <w:kern w:val="0"/>
          <w:szCs w:val="21"/>
        </w:rPr>
        <w:t>tDCS</w:t>
      </w:r>
      <w:proofErr w:type="spellEnd"/>
      <w:r w:rsidRPr="00651572">
        <w:rPr>
          <w:rFonts w:cs="Domine"/>
          <w:kern w:val="0"/>
          <w:szCs w:val="21"/>
        </w:rPr>
        <w:t xml:space="preserve">). Biomed </w:t>
      </w:r>
      <w:proofErr w:type="spellStart"/>
      <w:r w:rsidRPr="00651572">
        <w:rPr>
          <w:rFonts w:cs="Domine"/>
          <w:kern w:val="0"/>
          <w:szCs w:val="21"/>
        </w:rPr>
        <w:t>Eng</w:t>
      </w:r>
      <w:proofErr w:type="spellEnd"/>
      <w:r w:rsidRPr="00651572">
        <w:rPr>
          <w:rFonts w:cs="Domine"/>
          <w:kern w:val="0"/>
          <w:szCs w:val="21"/>
        </w:rPr>
        <w:t xml:space="preserve"> Lett. 2013; 3: 39-46.</w:t>
      </w:r>
    </w:p>
    <w:p w14:paraId="781E3EA7" w14:textId="77777777" w:rsidR="00BF7026" w:rsidRPr="00BF7026" w:rsidRDefault="00BF7026" w:rsidP="00086469">
      <w:pPr>
        <w:spacing w:line="480" w:lineRule="auto"/>
        <w:rPr>
          <w:rFonts w:cs="Domine"/>
          <w:color w:val="FF0000"/>
          <w:kern w:val="0"/>
          <w:szCs w:val="21"/>
        </w:rPr>
      </w:pPr>
    </w:p>
    <w:p w14:paraId="7EECB1DF" w14:textId="3102E989" w:rsidR="00BF7026" w:rsidRPr="004D3130" w:rsidRDefault="00BF7026" w:rsidP="00BF7026">
      <w:pPr>
        <w:spacing w:line="480" w:lineRule="auto"/>
        <w:rPr>
          <w:rFonts w:cs="Domine"/>
          <w:kern w:val="0"/>
          <w:szCs w:val="21"/>
        </w:rPr>
      </w:pPr>
      <w:r w:rsidRPr="00651572">
        <w:rPr>
          <w:rFonts w:cs="Domine"/>
          <w:kern w:val="0"/>
          <w:szCs w:val="21"/>
        </w:rPr>
        <w:t>2</w:t>
      </w:r>
      <w:r w:rsidRPr="004D3130">
        <w:rPr>
          <w:rFonts w:cs="Domine"/>
          <w:kern w:val="0"/>
          <w:szCs w:val="21"/>
        </w:rPr>
        <w:t xml:space="preserve">. </w:t>
      </w:r>
      <w:proofErr w:type="spellStart"/>
      <w:r w:rsidRPr="004D3130">
        <w:rPr>
          <w:rFonts w:cs="Domine"/>
          <w:kern w:val="0"/>
          <w:szCs w:val="21"/>
        </w:rPr>
        <w:t>Metuki</w:t>
      </w:r>
      <w:proofErr w:type="spellEnd"/>
      <w:r w:rsidRPr="004D3130">
        <w:rPr>
          <w:rFonts w:cs="Domine"/>
          <w:kern w:val="0"/>
          <w:szCs w:val="21"/>
        </w:rPr>
        <w:t xml:space="preserve"> N, </w:t>
      </w:r>
      <w:proofErr w:type="spellStart"/>
      <w:r w:rsidRPr="004D3130">
        <w:rPr>
          <w:rFonts w:cs="Domine"/>
          <w:kern w:val="0"/>
          <w:szCs w:val="21"/>
        </w:rPr>
        <w:t>Sela</w:t>
      </w:r>
      <w:proofErr w:type="spellEnd"/>
      <w:r w:rsidRPr="004D3130">
        <w:rPr>
          <w:rFonts w:cs="Domine"/>
          <w:kern w:val="0"/>
          <w:szCs w:val="21"/>
        </w:rPr>
        <w:t xml:space="preserve"> T, </w:t>
      </w:r>
      <w:proofErr w:type="spellStart"/>
      <w:r w:rsidRPr="004D3130">
        <w:rPr>
          <w:rFonts w:cs="Domine"/>
          <w:kern w:val="0"/>
          <w:szCs w:val="21"/>
        </w:rPr>
        <w:t>Lavidor</w:t>
      </w:r>
      <w:proofErr w:type="spellEnd"/>
      <w:r w:rsidRPr="004D3130">
        <w:rPr>
          <w:rFonts w:cs="Domine"/>
          <w:kern w:val="0"/>
          <w:szCs w:val="21"/>
        </w:rPr>
        <w:t xml:space="preserve"> M. Enhancing cognitive control components of insight problems solving by anodal </w:t>
      </w:r>
      <w:proofErr w:type="spellStart"/>
      <w:r w:rsidRPr="004D3130">
        <w:rPr>
          <w:rFonts w:cs="Domine"/>
          <w:kern w:val="0"/>
          <w:szCs w:val="21"/>
        </w:rPr>
        <w:t>tDCS</w:t>
      </w:r>
      <w:proofErr w:type="spellEnd"/>
      <w:r w:rsidRPr="004D3130">
        <w:rPr>
          <w:rFonts w:cs="Domine"/>
          <w:kern w:val="0"/>
          <w:szCs w:val="21"/>
        </w:rPr>
        <w:t xml:space="preserve"> of the left dorsolateral prefrontal cortex. Brain </w:t>
      </w:r>
      <w:proofErr w:type="spellStart"/>
      <w:r w:rsidRPr="004D3130">
        <w:rPr>
          <w:rFonts w:cs="Domine"/>
          <w:kern w:val="0"/>
          <w:szCs w:val="21"/>
        </w:rPr>
        <w:t>Stimul</w:t>
      </w:r>
      <w:proofErr w:type="spellEnd"/>
      <w:r w:rsidRPr="004D3130">
        <w:rPr>
          <w:rFonts w:cs="Domine"/>
          <w:kern w:val="0"/>
          <w:szCs w:val="21"/>
        </w:rPr>
        <w:t>. 2012; 5: 110-115.</w:t>
      </w:r>
    </w:p>
    <w:p w14:paraId="2A37132E" w14:textId="77777777" w:rsidR="00BF7026" w:rsidRPr="00BF7026" w:rsidRDefault="00BF7026" w:rsidP="00BF7026">
      <w:pPr>
        <w:spacing w:line="480" w:lineRule="auto"/>
        <w:rPr>
          <w:rFonts w:cs="Domine"/>
          <w:kern w:val="0"/>
          <w:szCs w:val="21"/>
        </w:rPr>
      </w:pPr>
    </w:p>
    <w:p w14:paraId="1DE78F60" w14:textId="3F310B2C" w:rsidR="00BF7026" w:rsidRPr="00651572" w:rsidRDefault="00BF7026" w:rsidP="00BF7026">
      <w:pPr>
        <w:spacing w:line="480" w:lineRule="auto"/>
        <w:rPr>
          <w:rFonts w:cs="Domine"/>
          <w:kern w:val="0"/>
          <w:szCs w:val="21"/>
        </w:rPr>
      </w:pPr>
      <w:r w:rsidRPr="00651572">
        <w:rPr>
          <w:rFonts w:cs="Domine"/>
          <w:kern w:val="0"/>
          <w:szCs w:val="21"/>
        </w:rPr>
        <w:t xml:space="preserve">3. Chi RP, Snyder AW. Facilitate insight by non-invasive brain stimulation. </w:t>
      </w:r>
      <w:proofErr w:type="spellStart"/>
      <w:r w:rsidRPr="00651572">
        <w:rPr>
          <w:rFonts w:cs="Domine"/>
          <w:kern w:val="0"/>
          <w:szCs w:val="21"/>
        </w:rPr>
        <w:t>PLoS</w:t>
      </w:r>
      <w:proofErr w:type="spellEnd"/>
      <w:r w:rsidRPr="00651572">
        <w:rPr>
          <w:rFonts w:cs="Domine"/>
          <w:kern w:val="0"/>
          <w:szCs w:val="21"/>
        </w:rPr>
        <w:t xml:space="preserve"> ONE. 2011; 6: e16655.</w:t>
      </w:r>
    </w:p>
    <w:p w14:paraId="2FD70B69" w14:textId="77777777" w:rsidR="00BF7026" w:rsidRPr="00BF7026" w:rsidRDefault="00BF7026" w:rsidP="00086469">
      <w:pPr>
        <w:spacing w:line="480" w:lineRule="auto"/>
        <w:rPr>
          <w:rFonts w:cs="Domine"/>
          <w:kern w:val="0"/>
          <w:szCs w:val="21"/>
        </w:rPr>
      </w:pPr>
    </w:p>
    <w:p w14:paraId="151F8490" w14:textId="4DB06D0D" w:rsidR="00086469" w:rsidRPr="004D3130" w:rsidRDefault="00790584" w:rsidP="00086469">
      <w:pPr>
        <w:spacing w:line="480" w:lineRule="auto"/>
        <w:rPr>
          <w:rFonts w:cs="Domine"/>
          <w:kern w:val="0"/>
          <w:szCs w:val="21"/>
        </w:rPr>
      </w:pPr>
      <w:r w:rsidRPr="00651572">
        <w:rPr>
          <w:rFonts w:cs="Domine"/>
          <w:kern w:val="0"/>
          <w:szCs w:val="21"/>
        </w:rPr>
        <w:t>4</w:t>
      </w:r>
      <w:r w:rsidR="00086469" w:rsidRPr="00651572">
        <w:rPr>
          <w:rFonts w:cs="Domine"/>
          <w:kern w:val="0"/>
          <w:szCs w:val="21"/>
        </w:rPr>
        <w:t>.</w:t>
      </w:r>
      <w:r w:rsidR="00086469" w:rsidRPr="004D3130">
        <w:rPr>
          <w:rFonts w:cs="Domine"/>
          <w:kern w:val="0"/>
          <w:szCs w:val="21"/>
        </w:rPr>
        <w:t xml:space="preserve"> </w:t>
      </w:r>
      <w:proofErr w:type="spellStart"/>
      <w:r w:rsidR="00086469" w:rsidRPr="004D3130">
        <w:rPr>
          <w:rFonts w:cs="Domine"/>
          <w:kern w:val="0"/>
          <w:szCs w:val="21"/>
        </w:rPr>
        <w:t>Furuya</w:t>
      </w:r>
      <w:proofErr w:type="spellEnd"/>
      <w:r w:rsidR="00086469" w:rsidRPr="004D3130">
        <w:rPr>
          <w:rFonts w:cs="Domine"/>
          <w:kern w:val="0"/>
          <w:szCs w:val="21"/>
        </w:rPr>
        <w:t xml:space="preserve"> S, Klaus M, </w:t>
      </w:r>
      <w:proofErr w:type="spellStart"/>
      <w:r w:rsidR="00086469" w:rsidRPr="004D3130">
        <w:rPr>
          <w:rFonts w:cs="Domine"/>
          <w:kern w:val="0"/>
          <w:szCs w:val="21"/>
        </w:rPr>
        <w:t>Nitsche</w:t>
      </w:r>
      <w:proofErr w:type="spellEnd"/>
      <w:r w:rsidR="00086469" w:rsidRPr="004D3130">
        <w:rPr>
          <w:rFonts w:cs="Domine"/>
          <w:kern w:val="0"/>
          <w:szCs w:val="21"/>
        </w:rPr>
        <w:t xml:space="preserve"> MA, Paulus W, </w:t>
      </w:r>
      <w:proofErr w:type="spellStart"/>
      <w:r w:rsidR="00086469" w:rsidRPr="004D3130">
        <w:rPr>
          <w:rFonts w:cs="Domine"/>
          <w:kern w:val="0"/>
          <w:szCs w:val="21"/>
        </w:rPr>
        <w:t>Altenmuller</w:t>
      </w:r>
      <w:proofErr w:type="spellEnd"/>
      <w:r w:rsidR="00086469" w:rsidRPr="004D3130">
        <w:rPr>
          <w:rFonts w:cs="Domine"/>
          <w:kern w:val="0"/>
          <w:szCs w:val="21"/>
        </w:rPr>
        <w:t xml:space="preserve"> E</w:t>
      </w:r>
      <w:r w:rsidR="005F4266" w:rsidRPr="004D3130">
        <w:rPr>
          <w:rFonts w:cs="Domine"/>
          <w:kern w:val="0"/>
          <w:szCs w:val="21"/>
        </w:rPr>
        <w:t>.</w:t>
      </w:r>
      <w:r w:rsidR="00086469" w:rsidRPr="004D3130">
        <w:rPr>
          <w:rFonts w:cs="Domine"/>
          <w:kern w:val="0"/>
          <w:szCs w:val="21"/>
        </w:rPr>
        <w:t xml:space="preserve"> Ceiling effects prevent further improvement of transcranial stimulation i</w:t>
      </w:r>
      <w:r w:rsidR="005F4266" w:rsidRPr="004D3130">
        <w:rPr>
          <w:rFonts w:cs="Domine"/>
          <w:kern w:val="0"/>
          <w:szCs w:val="21"/>
        </w:rPr>
        <w:t xml:space="preserve">n skilled musicians. J </w:t>
      </w:r>
      <w:proofErr w:type="spellStart"/>
      <w:r w:rsidR="00AB7CDC" w:rsidRPr="004D3130">
        <w:rPr>
          <w:rFonts w:cs="Domine"/>
          <w:kern w:val="0"/>
          <w:szCs w:val="21"/>
        </w:rPr>
        <w:t>Neurosci</w:t>
      </w:r>
      <w:proofErr w:type="spellEnd"/>
      <w:r w:rsidR="00AB7CDC" w:rsidRPr="004D3130">
        <w:rPr>
          <w:rFonts w:cs="Domine"/>
          <w:kern w:val="0"/>
          <w:szCs w:val="21"/>
        </w:rPr>
        <w:t>.</w:t>
      </w:r>
      <w:r w:rsidR="00086469" w:rsidRPr="004D3130">
        <w:rPr>
          <w:rFonts w:cs="Domine"/>
          <w:kern w:val="0"/>
          <w:szCs w:val="21"/>
        </w:rPr>
        <w:t xml:space="preserve"> </w:t>
      </w:r>
      <w:r w:rsidR="005F4266" w:rsidRPr="004D3130">
        <w:rPr>
          <w:rFonts w:cs="Domine"/>
          <w:kern w:val="0"/>
          <w:szCs w:val="21"/>
        </w:rPr>
        <w:t xml:space="preserve">2014; </w:t>
      </w:r>
      <w:r w:rsidR="00086469" w:rsidRPr="004D3130">
        <w:rPr>
          <w:rFonts w:cs="Domine"/>
          <w:kern w:val="0"/>
          <w:szCs w:val="21"/>
        </w:rPr>
        <w:t>34: 13834-13839.</w:t>
      </w:r>
    </w:p>
    <w:p w14:paraId="752D42FA" w14:textId="77777777" w:rsidR="005F4266" w:rsidRPr="004D3130" w:rsidRDefault="005F4266" w:rsidP="00086469">
      <w:pPr>
        <w:spacing w:line="480" w:lineRule="auto"/>
        <w:rPr>
          <w:rFonts w:cs="Domine"/>
          <w:kern w:val="0"/>
          <w:szCs w:val="21"/>
        </w:rPr>
      </w:pPr>
    </w:p>
    <w:p w14:paraId="646F79A3" w14:textId="22F334DC" w:rsidR="00086469" w:rsidRPr="004D3130" w:rsidRDefault="00790584" w:rsidP="00086469">
      <w:pPr>
        <w:spacing w:line="480" w:lineRule="auto"/>
        <w:rPr>
          <w:rFonts w:cs="Domine"/>
          <w:kern w:val="0"/>
          <w:szCs w:val="21"/>
        </w:rPr>
      </w:pPr>
      <w:r w:rsidRPr="00651572">
        <w:rPr>
          <w:rFonts w:cs="Domine"/>
          <w:kern w:val="0"/>
          <w:szCs w:val="21"/>
        </w:rPr>
        <w:t>5</w:t>
      </w:r>
      <w:r w:rsidR="00086469" w:rsidRPr="00651572">
        <w:rPr>
          <w:rFonts w:cs="Domine"/>
          <w:kern w:val="0"/>
          <w:szCs w:val="21"/>
        </w:rPr>
        <w:t>.</w:t>
      </w:r>
      <w:r w:rsidR="00086469" w:rsidRPr="004D3130">
        <w:rPr>
          <w:rFonts w:cs="Domine"/>
          <w:kern w:val="0"/>
          <w:szCs w:val="21"/>
        </w:rPr>
        <w:t xml:space="preserve"> Tseng P, Hsu TY, Chang CF, </w:t>
      </w:r>
      <w:proofErr w:type="spellStart"/>
      <w:r w:rsidR="00086469" w:rsidRPr="004D3130">
        <w:rPr>
          <w:rFonts w:cs="Domine"/>
          <w:kern w:val="0"/>
          <w:szCs w:val="21"/>
        </w:rPr>
        <w:t>Tzeng</w:t>
      </w:r>
      <w:proofErr w:type="spellEnd"/>
      <w:r w:rsidR="00086469" w:rsidRPr="004D3130">
        <w:rPr>
          <w:rFonts w:cs="Domine"/>
          <w:kern w:val="0"/>
          <w:szCs w:val="21"/>
        </w:rPr>
        <w:t xml:space="preserve"> </w:t>
      </w:r>
      <w:proofErr w:type="spellStart"/>
      <w:r w:rsidR="00086469" w:rsidRPr="004D3130">
        <w:rPr>
          <w:rFonts w:cs="Domine"/>
          <w:kern w:val="0"/>
          <w:szCs w:val="21"/>
        </w:rPr>
        <w:t>OJL</w:t>
      </w:r>
      <w:proofErr w:type="spellEnd"/>
      <w:r w:rsidR="00086469" w:rsidRPr="004D3130">
        <w:rPr>
          <w:rFonts w:cs="Domine"/>
          <w:kern w:val="0"/>
          <w:szCs w:val="21"/>
        </w:rPr>
        <w:t xml:space="preserve">, Hung DL, </w:t>
      </w:r>
      <w:proofErr w:type="spellStart"/>
      <w:proofErr w:type="gramStart"/>
      <w:r w:rsidR="00086469" w:rsidRPr="004D3130">
        <w:rPr>
          <w:rFonts w:cs="Domine"/>
          <w:kern w:val="0"/>
          <w:szCs w:val="21"/>
        </w:rPr>
        <w:t>Muggleton</w:t>
      </w:r>
      <w:proofErr w:type="spellEnd"/>
      <w:proofErr w:type="gramEnd"/>
      <w:r w:rsidR="00086469" w:rsidRPr="004D3130">
        <w:rPr>
          <w:rFonts w:cs="Domine"/>
          <w:kern w:val="0"/>
          <w:szCs w:val="21"/>
        </w:rPr>
        <w:t xml:space="preserve"> NG, </w:t>
      </w:r>
      <w:r w:rsidR="001521DB" w:rsidRPr="004D3130">
        <w:rPr>
          <w:rFonts w:cs="Domine"/>
          <w:kern w:val="0"/>
          <w:szCs w:val="21"/>
        </w:rPr>
        <w:t>et al</w:t>
      </w:r>
      <w:r w:rsidR="004C6CBE" w:rsidRPr="004D3130">
        <w:rPr>
          <w:rFonts w:cs="Domine"/>
          <w:kern w:val="0"/>
          <w:szCs w:val="21"/>
        </w:rPr>
        <w:t>.</w:t>
      </w:r>
      <w:r w:rsidR="00086469" w:rsidRPr="004D3130">
        <w:rPr>
          <w:rFonts w:cs="Domine"/>
          <w:kern w:val="0"/>
          <w:szCs w:val="21"/>
        </w:rPr>
        <w:t xml:space="preserve"> Unleashing potential: Transcranial direct current stimulation over the right posterior parietal cortex improves change detection in low-performing indi</w:t>
      </w:r>
      <w:r w:rsidR="004C6CBE" w:rsidRPr="004D3130">
        <w:rPr>
          <w:rFonts w:cs="Domine"/>
          <w:kern w:val="0"/>
          <w:szCs w:val="21"/>
        </w:rPr>
        <w:t xml:space="preserve">viduals. J </w:t>
      </w:r>
      <w:proofErr w:type="spellStart"/>
      <w:r w:rsidR="004C6CBE" w:rsidRPr="004D3130">
        <w:rPr>
          <w:rFonts w:cs="Domine"/>
          <w:kern w:val="0"/>
          <w:szCs w:val="21"/>
        </w:rPr>
        <w:t>Neurosci</w:t>
      </w:r>
      <w:proofErr w:type="spellEnd"/>
      <w:r w:rsidR="00AB7CDC" w:rsidRPr="004D3130">
        <w:rPr>
          <w:rFonts w:cs="Domine"/>
          <w:kern w:val="0"/>
          <w:szCs w:val="21"/>
        </w:rPr>
        <w:t>.</w:t>
      </w:r>
      <w:r w:rsidR="004C6CBE" w:rsidRPr="004D3130">
        <w:rPr>
          <w:rFonts w:cs="Domine"/>
          <w:kern w:val="0"/>
          <w:szCs w:val="21"/>
        </w:rPr>
        <w:t xml:space="preserve"> 2012;</w:t>
      </w:r>
      <w:r w:rsidR="00086469" w:rsidRPr="004D3130">
        <w:rPr>
          <w:rFonts w:cs="Domine"/>
          <w:kern w:val="0"/>
          <w:szCs w:val="21"/>
        </w:rPr>
        <w:t xml:space="preserve"> 32: 10554-10561.</w:t>
      </w:r>
    </w:p>
    <w:p w14:paraId="239A5622" w14:textId="77777777" w:rsidR="00086469" w:rsidRPr="004D3130" w:rsidRDefault="00086469" w:rsidP="00086469">
      <w:pPr>
        <w:spacing w:line="480" w:lineRule="auto"/>
        <w:rPr>
          <w:rFonts w:cs="Domine"/>
          <w:color w:val="000000"/>
          <w:kern w:val="0"/>
          <w:szCs w:val="21"/>
        </w:rPr>
      </w:pPr>
    </w:p>
    <w:p w14:paraId="72E709C0" w14:textId="212D1E33" w:rsidR="00086469" w:rsidRPr="004D3130" w:rsidRDefault="006E519F" w:rsidP="00086469">
      <w:pPr>
        <w:spacing w:line="480" w:lineRule="auto"/>
        <w:rPr>
          <w:rFonts w:cs="Domine"/>
          <w:kern w:val="0"/>
          <w:szCs w:val="21"/>
        </w:rPr>
      </w:pPr>
      <w:r w:rsidRPr="00651572">
        <w:rPr>
          <w:rFonts w:cs="Domine"/>
          <w:kern w:val="0"/>
          <w:szCs w:val="21"/>
        </w:rPr>
        <w:lastRenderedPageBreak/>
        <w:t>6</w:t>
      </w:r>
      <w:r w:rsidR="00086469" w:rsidRPr="004D3130">
        <w:rPr>
          <w:rFonts w:cs="Domine"/>
          <w:kern w:val="0"/>
          <w:szCs w:val="21"/>
        </w:rPr>
        <w:t xml:space="preserve">. </w:t>
      </w:r>
      <w:proofErr w:type="spellStart"/>
      <w:r w:rsidR="00086469" w:rsidRPr="004D3130">
        <w:rPr>
          <w:rFonts w:cs="Domine"/>
          <w:kern w:val="0"/>
          <w:szCs w:val="21"/>
        </w:rPr>
        <w:t>Subramaniam</w:t>
      </w:r>
      <w:proofErr w:type="spellEnd"/>
      <w:r w:rsidR="00086469" w:rsidRPr="004D3130">
        <w:rPr>
          <w:rFonts w:cs="Domine"/>
          <w:kern w:val="0"/>
          <w:szCs w:val="21"/>
        </w:rPr>
        <w:t xml:space="preserve"> K, </w:t>
      </w:r>
      <w:proofErr w:type="spellStart"/>
      <w:r w:rsidR="00086469" w:rsidRPr="004D3130">
        <w:rPr>
          <w:rFonts w:cs="Domine"/>
          <w:kern w:val="0"/>
          <w:szCs w:val="21"/>
        </w:rPr>
        <w:t>Kounios</w:t>
      </w:r>
      <w:proofErr w:type="spellEnd"/>
      <w:r w:rsidR="00086469" w:rsidRPr="004D3130">
        <w:rPr>
          <w:rFonts w:cs="Domine"/>
          <w:kern w:val="0"/>
          <w:szCs w:val="21"/>
        </w:rPr>
        <w:t xml:space="preserve"> J, Parrish TB, Jung-</w:t>
      </w:r>
      <w:proofErr w:type="spellStart"/>
      <w:r w:rsidR="00086469" w:rsidRPr="004D3130">
        <w:rPr>
          <w:rFonts w:cs="Domine"/>
          <w:kern w:val="0"/>
          <w:szCs w:val="21"/>
        </w:rPr>
        <w:t>Beeman</w:t>
      </w:r>
      <w:proofErr w:type="spellEnd"/>
      <w:r w:rsidR="00086469" w:rsidRPr="004D3130">
        <w:rPr>
          <w:rFonts w:cs="Domine"/>
          <w:kern w:val="0"/>
          <w:szCs w:val="21"/>
        </w:rPr>
        <w:t xml:space="preserve"> M</w:t>
      </w:r>
      <w:r w:rsidR="003719EC" w:rsidRPr="004D3130">
        <w:rPr>
          <w:rFonts w:cs="Domine"/>
          <w:kern w:val="0"/>
          <w:szCs w:val="21"/>
        </w:rPr>
        <w:t>.</w:t>
      </w:r>
      <w:r w:rsidR="00086469" w:rsidRPr="004D3130">
        <w:rPr>
          <w:rFonts w:cs="Domine"/>
          <w:kern w:val="0"/>
          <w:szCs w:val="21"/>
        </w:rPr>
        <w:t xml:space="preserve"> A brain mechanism for facilitation of insight by positive affect. J</w:t>
      </w:r>
      <w:r w:rsidR="003719EC" w:rsidRPr="004D3130">
        <w:rPr>
          <w:rFonts w:cs="Domine"/>
          <w:kern w:val="0"/>
          <w:szCs w:val="21"/>
        </w:rPr>
        <w:t xml:space="preserve"> </w:t>
      </w:r>
      <w:proofErr w:type="spellStart"/>
      <w:r w:rsidR="00086469" w:rsidRPr="004D3130">
        <w:rPr>
          <w:rFonts w:cs="Domine"/>
          <w:kern w:val="0"/>
          <w:szCs w:val="21"/>
        </w:rPr>
        <w:t>Cogn</w:t>
      </w:r>
      <w:proofErr w:type="spellEnd"/>
      <w:r w:rsidR="003719EC" w:rsidRPr="004D3130">
        <w:rPr>
          <w:rFonts w:cs="Domine"/>
          <w:kern w:val="0"/>
          <w:szCs w:val="21"/>
        </w:rPr>
        <w:t xml:space="preserve"> </w:t>
      </w:r>
      <w:proofErr w:type="spellStart"/>
      <w:r w:rsidR="00086469" w:rsidRPr="004D3130">
        <w:rPr>
          <w:rFonts w:cs="Domine"/>
          <w:kern w:val="0"/>
          <w:szCs w:val="21"/>
        </w:rPr>
        <w:t>Neurosci</w:t>
      </w:r>
      <w:proofErr w:type="spellEnd"/>
      <w:r w:rsidR="00AB7CDC" w:rsidRPr="004D3130">
        <w:rPr>
          <w:rFonts w:cs="Domine"/>
          <w:kern w:val="0"/>
          <w:szCs w:val="21"/>
        </w:rPr>
        <w:t>.</w:t>
      </w:r>
      <w:r w:rsidR="003719EC" w:rsidRPr="004D3130">
        <w:rPr>
          <w:rFonts w:cs="Domine"/>
          <w:kern w:val="0"/>
          <w:szCs w:val="21"/>
        </w:rPr>
        <w:t xml:space="preserve"> 2009;</w:t>
      </w:r>
      <w:r w:rsidR="00086469" w:rsidRPr="004D3130">
        <w:rPr>
          <w:rFonts w:cs="Domine"/>
          <w:kern w:val="0"/>
          <w:szCs w:val="21"/>
        </w:rPr>
        <w:t xml:space="preserve"> 21: 415-432.</w:t>
      </w:r>
    </w:p>
    <w:p w14:paraId="246DFBD2" w14:textId="77777777" w:rsidR="00086469" w:rsidRPr="004D3130" w:rsidRDefault="00086469" w:rsidP="00086469">
      <w:pPr>
        <w:spacing w:line="480" w:lineRule="auto"/>
        <w:rPr>
          <w:rFonts w:cs="Domine"/>
          <w:kern w:val="0"/>
          <w:szCs w:val="21"/>
        </w:rPr>
      </w:pPr>
    </w:p>
    <w:p w14:paraId="1AD09C69" w14:textId="77777777" w:rsidR="00086469" w:rsidRPr="004D3130" w:rsidRDefault="00086469" w:rsidP="00086469">
      <w:pPr>
        <w:spacing w:line="480" w:lineRule="auto"/>
        <w:rPr>
          <w:rFonts w:cs="Domine"/>
          <w:color w:val="000000"/>
          <w:kern w:val="0"/>
          <w:szCs w:val="21"/>
        </w:rPr>
      </w:pPr>
    </w:p>
    <w:p w14:paraId="500D334C" w14:textId="77777777" w:rsidR="00086469" w:rsidRPr="004D3130" w:rsidRDefault="00086469" w:rsidP="00086469">
      <w:pPr>
        <w:spacing w:line="480" w:lineRule="auto"/>
        <w:rPr>
          <w:rFonts w:cs="Domine"/>
          <w:color w:val="000000"/>
          <w:kern w:val="0"/>
          <w:szCs w:val="21"/>
        </w:rPr>
      </w:pPr>
    </w:p>
    <w:p w14:paraId="2575CB92" w14:textId="77777777" w:rsidR="00086469" w:rsidRPr="004D3130" w:rsidRDefault="00086469" w:rsidP="00086469">
      <w:pPr>
        <w:spacing w:line="480" w:lineRule="auto"/>
        <w:rPr>
          <w:rFonts w:cs="Domine"/>
          <w:color w:val="000000"/>
          <w:kern w:val="0"/>
          <w:szCs w:val="21"/>
        </w:rPr>
      </w:pPr>
    </w:p>
    <w:p w14:paraId="330F552A" w14:textId="77777777" w:rsidR="00BD3653" w:rsidRPr="004D3130" w:rsidRDefault="00BD3653"/>
    <w:sectPr w:rsidR="00BD3653" w:rsidRPr="004D3130" w:rsidSect="00FD7D9B">
      <w:footerReference w:type="default" r:id="rId14"/>
      <w:pgSz w:w="11906" w:h="16838"/>
      <w:pgMar w:top="1985" w:right="1701" w:bottom="1701" w:left="1701" w:header="720" w:footer="720" w:gutter="0"/>
      <w:lnNumType w:countBy="1"/>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306C" w14:textId="77777777" w:rsidR="00A36302" w:rsidRDefault="00A36302" w:rsidP="00086469">
      <w:r>
        <w:separator/>
      </w:r>
    </w:p>
  </w:endnote>
  <w:endnote w:type="continuationSeparator" w:id="0">
    <w:p w14:paraId="0C6CF89C" w14:textId="77777777" w:rsidR="00A36302" w:rsidRDefault="00A36302" w:rsidP="0008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mine">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94F8" w14:textId="12F28F10" w:rsidR="004F0C90" w:rsidRDefault="007851D2">
    <w:pPr>
      <w:tabs>
        <w:tab w:val="center" w:pos="4252"/>
        <w:tab w:val="right" w:pos="8504"/>
      </w:tabs>
      <w:spacing w:after="992"/>
      <w:jc w:val="center"/>
    </w:pPr>
    <w:r>
      <w:fldChar w:fldCharType="begin"/>
    </w:r>
    <w:r>
      <w:instrText>PAGE</w:instrText>
    </w:r>
    <w:r>
      <w:fldChar w:fldCharType="separate"/>
    </w:r>
    <w:r w:rsidR="00EA697A">
      <w:rPr>
        <w:noProof/>
      </w:rPr>
      <w:t>15</w:t>
    </w:r>
    <w:r>
      <w:fldChar w:fldCharType="end"/>
    </w:r>
  </w:p>
  <w:p w14:paraId="189DCECB" w14:textId="77777777" w:rsidR="004F0C90" w:rsidRDefault="00A36302">
    <w:pPr>
      <w:tabs>
        <w:tab w:val="center" w:pos="4252"/>
        <w:tab w:val="right" w:pos="8504"/>
      </w:tabs>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23E0" w14:textId="77777777" w:rsidR="00A36302" w:rsidRDefault="00A36302" w:rsidP="00086469">
      <w:r>
        <w:separator/>
      </w:r>
    </w:p>
  </w:footnote>
  <w:footnote w:type="continuationSeparator" w:id="0">
    <w:p w14:paraId="35EE5314" w14:textId="77777777" w:rsidR="00A36302" w:rsidRDefault="00A36302" w:rsidP="0008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14D0"/>
    <w:multiLevelType w:val="multilevel"/>
    <w:tmpl w:val="A3B6F85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62E9457F"/>
    <w:multiLevelType w:val="hybridMultilevel"/>
    <w:tmpl w:val="0094749E"/>
    <w:lvl w:ilvl="0" w:tplc="68BA04B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F4"/>
    <w:rsid w:val="0000183A"/>
    <w:rsid w:val="00011E50"/>
    <w:rsid w:val="0001323F"/>
    <w:rsid w:val="00014D81"/>
    <w:rsid w:val="00027FF7"/>
    <w:rsid w:val="000418C2"/>
    <w:rsid w:val="00047FBA"/>
    <w:rsid w:val="000658CF"/>
    <w:rsid w:val="00067617"/>
    <w:rsid w:val="00086469"/>
    <w:rsid w:val="00090D80"/>
    <w:rsid w:val="000916E8"/>
    <w:rsid w:val="000918DA"/>
    <w:rsid w:val="00095CE3"/>
    <w:rsid w:val="000B6C81"/>
    <w:rsid w:val="000C079A"/>
    <w:rsid w:val="000C2355"/>
    <w:rsid w:val="000D1AEE"/>
    <w:rsid w:val="000D700E"/>
    <w:rsid w:val="000E6FDA"/>
    <w:rsid w:val="000F3E86"/>
    <w:rsid w:val="000F5152"/>
    <w:rsid w:val="00123D98"/>
    <w:rsid w:val="00130193"/>
    <w:rsid w:val="00142A7B"/>
    <w:rsid w:val="00146A75"/>
    <w:rsid w:val="001521DB"/>
    <w:rsid w:val="001553B8"/>
    <w:rsid w:val="00177BCA"/>
    <w:rsid w:val="001A091F"/>
    <w:rsid w:val="001A1193"/>
    <w:rsid w:val="001A3539"/>
    <w:rsid w:val="001B756D"/>
    <w:rsid w:val="001C1130"/>
    <w:rsid w:val="001C7951"/>
    <w:rsid w:val="001C79DC"/>
    <w:rsid w:val="001F5E35"/>
    <w:rsid w:val="002003E9"/>
    <w:rsid w:val="0020071C"/>
    <w:rsid w:val="00201F16"/>
    <w:rsid w:val="002047D7"/>
    <w:rsid w:val="002210F2"/>
    <w:rsid w:val="00221396"/>
    <w:rsid w:val="00223218"/>
    <w:rsid w:val="0025587F"/>
    <w:rsid w:val="00266D05"/>
    <w:rsid w:val="002855F7"/>
    <w:rsid w:val="002927ED"/>
    <w:rsid w:val="00294DFF"/>
    <w:rsid w:val="00296BD8"/>
    <w:rsid w:val="002C1CD1"/>
    <w:rsid w:val="002E3B4A"/>
    <w:rsid w:val="00302AE0"/>
    <w:rsid w:val="00302F35"/>
    <w:rsid w:val="003173A9"/>
    <w:rsid w:val="00322824"/>
    <w:rsid w:val="00326451"/>
    <w:rsid w:val="00335EDB"/>
    <w:rsid w:val="0035132C"/>
    <w:rsid w:val="00351E0F"/>
    <w:rsid w:val="00362353"/>
    <w:rsid w:val="00371757"/>
    <w:rsid w:val="003719EC"/>
    <w:rsid w:val="00374DDB"/>
    <w:rsid w:val="00380D8E"/>
    <w:rsid w:val="00383862"/>
    <w:rsid w:val="00385BBA"/>
    <w:rsid w:val="00394DFE"/>
    <w:rsid w:val="003A34C0"/>
    <w:rsid w:val="003C1EBF"/>
    <w:rsid w:val="003C3832"/>
    <w:rsid w:val="003E3C3E"/>
    <w:rsid w:val="003F45A5"/>
    <w:rsid w:val="003F702D"/>
    <w:rsid w:val="003F7FE9"/>
    <w:rsid w:val="0040222F"/>
    <w:rsid w:val="00405A78"/>
    <w:rsid w:val="00407F91"/>
    <w:rsid w:val="004229A6"/>
    <w:rsid w:val="00427273"/>
    <w:rsid w:val="00431303"/>
    <w:rsid w:val="00437511"/>
    <w:rsid w:val="00446049"/>
    <w:rsid w:val="00446F8D"/>
    <w:rsid w:val="00456267"/>
    <w:rsid w:val="00456744"/>
    <w:rsid w:val="004607D3"/>
    <w:rsid w:val="00466329"/>
    <w:rsid w:val="004816A7"/>
    <w:rsid w:val="0049076E"/>
    <w:rsid w:val="004C6CBE"/>
    <w:rsid w:val="004D3130"/>
    <w:rsid w:val="004E0EBC"/>
    <w:rsid w:val="004E67CD"/>
    <w:rsid w:val="004F7CF6"/>
    <w:rsid w:val="005031D2"/>
    <w:rsid w:val="0050502A"/>
    <w:rsid w:val="00516CC3"/>
    <w:rsid w:val="00534DDF"/>
    <w:rsid w:val="00536BC3"/>
    <w:rsid w:val="00547084"/>
    <w:rsid w:val="005471B2"/>
    <w:rsid w:val="0054761F"/>
    <w:rsid w:val="005845A0"/>
    <w:rsid w:val="00587074"/>
    <w:rsid w:val="00596D8C"/>
    <w:rsid w:val="005A7539"/>
    <w:rsid w:val="005C2FF2"/>
    <w:rsid w:val="005D3059"/>
    <w:rsid w:val="005F4266"/>
    <w:rsid w:val="00601756"/>
    <w:rsid w:val="0061190F"/>
    <w:rsid w:val="00617EDE"/>
    <w:rsid w:val="00622815"/>
    <w:rsid w:val="0064122F"/>
    <w:rsid w:val="00643D6A"/>
    <w:rsid w:val="00650DF7"/>
    <w:rsid w:val="00651572"/>
    <w:rsid w:val="00655A7B"/>
    <w:rsid w:val="006565F4"/>
    <w:rsid w:val="0066168A"/>
    <w:rsid w:val="006633F0"/>
    <w:rsid w:val="006667C2"/>
    <w:rsid w:val="006775EF"/>
    <w:rsid w:val="00680FE5"/>
    <w:rsid w:val="006918CF"/>
    <w:rsid w:val="00693B68"/>
    <w:rsid w:val="006A10E3"/>
    <w:rsid w:val="006A6B4D"/>
    <w:rsid w:val="006B15B2"/>
    <w:rsid w:val="006B2093"/>
    <w:rsid w:val="006C027C"/>
    <w:rsid w:val="006C5E83"/>
    <w:rsid w:val="006C67F9"/>
    <w:rsid w:val="006C77F3"/>
    <w:rsid w:val="006D749A"/>
    <w:rsid w:val="006D7BBC"/>
    <w:rsid w:val="006E519F"/>
    <w:rsid w:val="00713D30"/>
    <w:rsid w:val="00724A2B"/>
    <w:rsid w:val="00737697"/>
    <w:rsid w:val="007554AA"/>
    <w:rsid w:val="00760B39"/>
    <w:rsid w:val="0076136A"/>
    <w:rsid w:val="00765812"/>
    <w:rsid w:val="00765AEF"/>
    <w:rsid w:val="00770BE8"/>
    <w:rsid w:val="00781F34"/>
    <w:rsid w:val="007851D2"/>
    <w:rsid w:val="00790584"/>
    <w:rsid w:val="007B74FD"/>
    <w:rsid w:val="007C340B"/>
    <w:rsid w:val="007C5C17"/>
    <w:rsid w:val="007E1BC9"/>
    <w:rsid w:val="007E3C02"/>
    <w:rsid w:val="007F4E92"/>
    <w:rsid w:val="00805FDB"/>
    <w:rsid w:val="0082024C"/>
    <w:rsid w:val="00823B89"/>
    <w:rsid w:val="0085573D"/>
    <w:rsid w:val="0086295D"/>
    <w:rsid w:val="0087218A"/>
    <w:rsid w:val="008A0110"/>
    <w:rsid w:val="008A429C"/>
    <w:rsid w:val="008B7DDA"/>
    <w:rsid w:val="008D0260"/>
    <w:rsid w:val="008D34FE"/>
    <w:rsid w:val="008D5BE2"/>
    <w:rsid w:val="008E1384"/>
    <w:rsid w:val="008E6AED"/>
    <w:rsid w:val="008E7209"/>
    <w:rsid w:val="008F70EC"/>
    <w:rsid w:val="00904023"/>
    <w:rsid w:val="0090666C"/>
    <w:rsid w:val="00907625"/>
    <w:rsid w:val="00921B6E"/>
    <w:rsid w:val="00923D15"/>
    <w:rsid w:val="00935401"/>
    <w:rsid w:val="00935BC4"/>
    <w:rsid w:val="00935ED1"/>
    <w:rsid w:val="009379C1"/>
    <w:rsid w:val="0096205E"/>
    <w:rsid w:val="009633DA"/>
    <w:rsid w:val="00971A58"/>
    <w:rsid w:val="00984EF0"/>
    <w:rsid w:val="00986493"/>
    <w:rsid w:val="00987A61"/>
    <w:rsid w:val="00992023"/>
    <w:rsid w:val="00992DA4"/>
    <w:rsid w:val="009B17A1"/>
    <w:rsid w:val="009B2E2B"/>
    <w:rsid w:val="009C2E05"/>
    <w:rsid w:val="009C7A50"/>
    <w:rsid w:val="009D4383"/>
    <w:rsid w:val="009F0A3F"/>
    <w:rsid w:val="009F173B"/>
    <w:rsid w:val="009F277E"/>
    <w:rsid w:val="009F7871"/>
    <w:rsid w:val="00A01242"/>
    <w:rsid w:val="00A043B4"/>
    <w:rsid w:val="00A04491"/>
    <w:rsid w:val="00A32E76"/>
    <w:rsid w:val="00A36302"/>
    <w:rsid w:val="00A4465B"/>
    <w:rsid w:val="00A73EC1"/>
    <w:rsid w:val="00A95E7B"/>
    <w:rsid w:val="00A965ED"/>
    <w:rsid w:val="00AB6123"/>
    <w:rsid w:val="00AB6742"/>
    <w:rsid w:val="00AB7CDC"/>
    <w:rsid w:val="00AC46DB"/>
    <w:rsid w:val="00AD62C8"/>
    <w:rsid w:val="00AE2BA1"/>
    <w:rsid w:val="00AE3ADA"/>
    <w:rsid w:val="00AE7029"/>
    <w:rsid w:val="00AF794D"/>
    <w:rsid w:val="00B02CEA"/>
    <w:rsid w:val="00B03AB7"/>
    <w:rsid w:val="00B14DED"/>
    <w:rsid w:val="00B17D54"/>
    <w:rsid w:val="00B40DD2"/>
    <w:rsid w:val="00B54DBD"/>
    <w:rsid w:val="00B563ED"/>
    <w:rsid w:val="00B60245"/>
    <w:rsid w:val="00B71503"/>
    <w:rsid w:val="00B717FA"/>
    <w:rsid w:val="00B7690E"/>
    <w:rsid w:val="00B8139A"/>
    <w:rsid w:val="00B83F8B"/>
    <w:rsid w:val="00B853E1"/>
    <w:rsid w:val="00B8607F"/>
    <w:rsid w:val="00BB3893"/>
    <w:rsid w:val="00BB5EC4"/>
    <w:rsid w:val="00BB6DCE"/>
    <w:rsid w:val="00BD3653"/>
    <w:rsid w:val="00BD5784"/>
    <w:rsid w:val="00BD754B"/>
    <w:rsid w:val="00BE2EA8"/>
    <w:rsid w:val="00BE45A5"/>
    <w:rsid w:val="00BE69C4"/>
    <w:rsid w:val="00BF4889"/>
    <w:rsid w:val="00BF57B2"/>
    <w:rsid w:val="00BF69F0"/>
    <w:rsid w:val="00BF7026"/>
    <w:rsid w:val="00C2096A"/>
    <w:rsid w:val="00C21924"/>
    <w:rsid w:val="00C3235D"/>
    <w:rsid w:val="00C331B7"/>
    <w:rsid w:val="00C352B0"/>
    <w:rsid w:val="00C3603F"/>
    <w:rsid w:val="00C44A8C"/>
    <w:rsid w:val="00C57972"/>
    <w:rsid w:val="00C5797A"/>
    <w:rsid w:val="00C61A6F"/>
    <w:rsid w:val="00C6708E"/>
    <w:rsid w:val="00C7151F"/>
    <w:rsid w:val="00C71E08"/>
    <w:rsid w:val="00C8612E"/>
    <w:rsid w:val="00C9105A"/>
    <w:rsid w:val="00C91798"/>
    <w:rsid w:val="00CB03EA"/>
    <w:rsid w:val="00CB21E9"/>
    <w:rsid w:val="00CB4CE7"/>
    <w:rsid w:val="00CB6863"/>
    <w:rsid w:val="00CB6E16"/>
    <w:rsid w:val="00CC21B4"/>
    <w:rsid w:val="00CC6BD7"/>
    <w:rsid w:val="00CD6873"/>
    <w:rsid w:val="00CE20DB"/>
    <w:rsid w:val="00CF4EED"/>
    <w:rsid w:val="00D105F1"/>
    <w:rsid w:val="00D268BF"/>
    <w:rsid w:val="00D61077"/>
    <w:rsid w:val="00D63E42"/>
    <w:rsid w:val="00D64C21"/>
    <w:rsid w:val="00D66B97"/>
    <w:rsid w:val="00D948D6"/>
    <w:rsid w:val="00DA2486"/>
    <w:rsid w:val="00DB3A6B"/>
    <w:rsid w:val="00DC7E60"/>
    <w:rsid w:val="00DD6F06"/>
    <w:rsid w:val="00DF2AA2"/>
    <w:rsid w:val="00DF4336"/>
    <w:rsid w:val="00E0652D"/>
    <w:rsid w:val="00E1038D"/>
    <w:rsid w:val="00E207E5"/>
    <w:rsid w:val="00E23394"/>
    <w:rsid w:val="00E427B6"/>
    <w:rsid w:val="00E437C4"/>
    <w:rsid w:val="00E45F54"/>
    <w:rsid w:val="00E4609C"/>
    <w:rsid w:val="00E534AC"/>
    <w:rsid w:val="00E82FB3"/>
    <w:rsid w:val="00E97282"/>
    <w:rsid w:val="00EA697A"/>
    <w:rsid w:val="00EC334E"/>
    <w:rsid w:val="00ED012B"/>
    <w:rsid w:val="00ED6504"/>
    <w:rsid w:val="00ED6675"/>
    <w:rsid w:val="00EE3A09"/>
    <w:rsid w:val="00F01736"/>
    <w:rsid w:val="00F0502C"/>
    <w:rsid w:val="00F143FF"/>
    <w:rsid w:val="00F22E30"/>
    <w:rsid w:val="00F31E50"/>
    <w:rsid w:val="00F33020"/>
    <w:rsid w:val="00F35AC6"/>
    <w:rsid w:val="00F40A50"/>
    <w:rsid w:val="00F45211"/>
    <w:rsid w:val="00F46005"/>
    <w:rsid w:val="00F564A7"/>
    <w:rsid w:val="00F754A1"/>
    <w:rsid w:val="00FA3A18"/>
    <w:rsid w:val="00FB2344"/>
    <w:rsid w:val="00FB7513"/>
    <w:rsid w:val="00FC2CF0"/>
    <w:rsid w:val="00FC32F4"/>
    <w:rsid w:val="00FC34F8"/>
    <w:rsid w:val="00FC4B6E"/>
    <w:rsid w:val="00FD00AB"/>
    <w:rsid w:val="00FD7537"/>
    <w:rsid w:val="00FF5DBF"/>
    <w:rsid w:val="00FF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BB40E"/>
  <w15:docId w15:val="{64FE73A2-D737-4505-83DA-F3B33CB9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69"/>
    <w:pPr>
      <w:tabs>
        <w:tab w:val="center" w:pos="4252"/>
        <w:tab w:val="right" w:pos="8504"/>
      </w:tabs>
      <w:snapToGrid w:val="0"/>
    </w:pPr>
  </w:style>
  <w:style w:type="character" w:customStyle="1" w:styleId="a4">
    <w:name w:val="ヘッダー (文字)"/>
    <w:basedOn w:val="a0"/>
    <w:link w:val="a3"/>
    <w:uiPriority w:val="99"/>
    <w:rsid w:val="00086469"/>
  </w:style>
  <w:style w:type="paragraph" w:styleId="a5">
    <w:name w:val="footer"/>
    <w:basedOn w:val="a"/>
    <w:link w:val="a6"/>
    <w:uiPriority w:val="99"/>
    <w:unhideWhenUsed/>
    <w:rsid w:val="00086469"/>
    <w:pPr>
      <w:tabs>
        <w:tab w:val="center" w:pos="4252"/>
        <w:tab w:val="right" w:pos="8504"/>
      </w:tabs>
      <w:snapToGrid w:val="0"/>
    </w:pPr>
  </w:style>
  <w:style w:type="character" w:customStyle="1" w:styleId="a6">
    <w:name w:val="フッター (文字)"/>
    <w:basedOn w:val="a0"/>
    <w:link w:val="a5"/>
    <w:uiPriority w:val="99"/>
    <w:rsid w:val="00086469"/>
  </w:style>
  <w:style w:type="character" w:styleId="a7">
    <w:name w:val="line number"/>
    <w:basedOn w:val="a0"/>
    <w:uiPriority w:val="99"/>
    <w:semiHidden/>
    <w:unhideWhenUsed/>
    <w:rsid w:val="00086469"/>
  </w:style>
  <w:style w:type="character" w:styleId="a8">
    <w:name w:val="annotation reference"/>
    <w:basedOn w:val="a0"/>
    <w:uiPriority w:val="99"/>
    <w:semiHidden/>
    <w:unhideWhenUsed/>
    <w:rsid w:val="00D61077"/>
    <w:rPr>
      <w:sz w:val="18"/>
      <w:szCs w:val="18"/>
    </w:rPr>
  </w:style>
  <w:style w:type="paragraph" w:styleId="a9">
    <w:name w:val="annotation text"/>
    <w:basedOn w:val="a"/>
    <w:link w:val="aa"/>
    <w:uiPriority w:val="99"/>
    <w:semiHidden/>
    <w:unhideWhenUsed/>
    <w:rsid w:val="00D61077"/>
    <w:rPr>
      <w:sz w:val="24"/>
      <w:szCs w:val="24"/>
    </w:rPr>
  </w:style>
  <w:style w:type="character" w:customStyle="1" w:styleId="aa">
    <w:name w:val="コメント文字列 (文字)"/>
    <w:basedOn w:val="a0"/>
    <w:link w:val="a9"/>
    <w:uiPriority w:val="99"/>
    <w:semiHidden/>
    <w:rsid w:val="00D61077"/>
    <w:rPr>
      <w:sz w:val="24"/>
      <w:szCs w:val="24"/>
    </w:rPr>
  </w:style>
  <w:style w:type="paragraph" w:styleId="ab">
    <w:name w:val="annotation subject"/>
    <w:basedOn w:val="a9"/>
    <w:next w:val="a9"/>
    <w:link w:val="ac"/>
    <w:uiPriority w:val="99"/>
    <w:semiHidden/>
    <w:unhideWhenUsed/>
    <w:rsid w:val="00D61077"/>
    <w:rPr>
      <w:b/>
      <w:bCs/>
      <w:sz w:val="20"/>
      <w:szCs w:val="20"/>
    </w:rPr>
  </w:style>
  <w:style w:type="character" w:customStyle="1" w:styleId="ac">
    <w:name w:val="コメント内容 (文字)"/>
    <w:basedOn w:val="aa"/>
    <w:link w:val="ab"/>
    <w:uiPriority w:val="99"/>
    <w:semiHidden/>
    <w:rsid w:val="00D61077"/>
    <w:rPr>
      <w:b/>
      <w:bCs/>
      <w:sz w:val="20"/>
      <w:szCs w:val="20"/>
    </w:rPr>
  </w:style>
  <w:style w:type="paragraph" w:styleId="ad">
    <w:name w:val="Balloon Text"/>
    <w:basedOn w:val="a"/>
    <w:link w:val="ae"/>
    <w:uiPriority w:val="99"/>
    <w:semiHidden/>
    <w:unhideWhenUsed/>
    <w:rsid w:val="00D61077"/>
    <w:rPr>
      <w:rFonts w:ascii="Times New Roman" w:hAnsi="Times New Roman" w:cs="Times New Roman"/>
      <w:sz w:val="18"/>
      <w:szCs w:val="18"/>
    </w:rPr>
  </w:style>
  <w:style w:type="character" w:customStyle="1" w:styleId="ae">
    <w:name w:val="吹き出し (文字)"/>
    <w:basedOn w:val="a0"/>
    <w:link w:val="ad"/>
    <w:uiPriority w:val="99"/>
    <w:semiHidden/>
    <w:rsid w:val="00D610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7298">
      <w:bodyDiv w:val="1"/>
      <w:marLeft w:val="0"/>
      <w:marRight w:val="0"/>
      <w:marTop w:val="0"/>
      <w:marBottom w:val="0"/>
      <w:divBdr>
        <w:top w:val="none" w:sz="0" w:space="0" w:color="auto"/>
        <w:left w:val="none" w:sz="0" w:space="0" w:color="auto"/>
        <w:bottom w:val="none" w:sz="0" w:space="0" w:color="auto"/>
        <w:right w:val="none" w:sz="0" w:space="0" w:color="auto"/>
      </w:divBdr>
    </w:div>
    <w:div w:id="961838782">
      <w:bodyDiv w:val="1"/>
      <w:marLeft w:val="0"/>
      <w:marRight w:val="0"/>
      <w:marTop w:val="0"/>
      <w:marBottom w:val="0"/>
      <w:divBdr>
        <w:top w:val="none" w:sz="0" w:space="0" w:color="auto"/>
        <w:left w:val="none" w:sz="0" w:space="0" w:color="auto"/>
        <w:bottom w:val="none" w:sz="0" w:space="0" w:color="auto"/>
        <w:right w:val="none" w:sz="0" w:space="0" w:color="auto"/>
      </w:divBdr>
    </w:div>
    <w:div w:id="14855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2219</Words>
  <Characters>12651</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takatsugu aihara</dc:creator>
  <cp:keywords/>
  <dc:description/>
  <cp:lastModifiedBy>takatsugu aihara</cp:lastModifiedBy>
  <cp:revision>3</cp:revision>
  <dcterms:created xsi:type="dcterms:W3CDTF">2017-09-04T05:59:00Z</dcterms:created>
  <dcterms:modified xsi:type="dcterms:W3CDTF">2017-09-04T06:04:00Z</dcterms:modified>
</cp:coreProperties>
</file>