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D5" w:rsidRDefault="00B14AD5" w:rsidP="00B14AD5">
      <w:pPr>
        <w:tabs>
          <w:tab w:val="left" w:pos="6132"/>
        </w:tabs>
        <w:jc w:val="both"/>
        <w:rPr>
          <w:rFonts w:asciiTheme="minorHAnsi" w:hAnsiTheme="minorHAnsi"/>
          <w:b/>
          <w:iCs/>
          <w:color w:val="000000" w:themeColor="text1"/>
        </w:rPr>
      </w:pPr>
      <w:r w:rsidRPr="000A1F04">
        <w:rPr>
          <w:rFonts w:asciiTheme="minorHAnsi" w:hAnsiTheme="minorHAnsi"/>
          <w:b/>
        </w:rPr>
        <w:t>Appendix Table 2</w:t>
      </w:r>
      <w:r>
        <w:rPr>
          <w:rFonts w:asciiTheme="minorHAnsi" w:hAnsiTheme="minorHAnsi"/>
          <w:b/>
        </w:rPr>
        <w:t>.</w:t>
      </w:r>
      <w:r w:rsidRPr="000A1F04">
        <w:rPr>
          <w:rFonts w:asciiTheme="minorHAnsi" w:hAnsiTheme="minorHAnsi"/>
          <w:b/>
        </w:rPr>
        <w:t xml:space="preserve"> </w:t>
      </w:r>
      <w:r w:rsidRPr="000A1F04">
        <w:rPr>
          <w:rFonts w:asciiTheme="minorHAnsi" w:hAnsiTheme="minorHAnsi"/>
          <w:b/>
          <w:iCs/>
          <w:color w:val="000000" w:themeColor="text1"/>
        </w:rPr>
        <w:t>The effect of RT on subsequent MN after breast cancer according to stage and node involvement</w:t>
      </w:r>
    </w:p>
    <w:p w:rsidR="00B14AD5" w:rsidRDefault="00B14AD5" w:rsidP="00B14AD5">
      <w:pPr>
        <w:tabs>
          <w:tab w:val="left" w:pos="6132"/>
        </w:tabs>
        <w:jc w:val="both"/>
        <w:rPr>
          <w:rFonts w:asciiTheme="minorHAnsi" w:hAnsiTheme="minorHAnsi"/>
          <w:b/>
          <w:iCs/>
          <w:color w:val="000000" w:themeColor="text1"/>
        </w:rPr>
      </w:pPr>
      <w:r w:rsidRPr="000A1F04">
        <w:rPr>
          <w:rFonts w:asciiTheme="minorHAnsi" w:hAnsiTheme="minorHAnsi"/>
          <w:iCs/>
          <w:color w:val="000000" w:themeColor="text1"/>
        </w:rPr>
        <w:t>Source: SEER-Medicare</w:t>
      </w:r>
      <w:r>
        <w:rPr>
          <w:rFonts w:asciiTheme="minorHAnsi" w:hAnsiTheme="minorHAnsi"/>
          <w:iCs/>
          <w:color w:val="000000" w:themeColor="text1"/>
        </w:rPr>
        <w:t>.</w:t>
      </w:r>
      <w:r w:rsidRPr="000A1F04">
        <w:rPr>
          <w:rFonts w:asciiTheme="minorHAnsi" w:hAnsiTheme="minorHAnsi"/>
          <w:iCs/>
          <w:color w:val="000000" w:themeColor="text1"/>
        </w:rPr>
        <w:t xml:space="preserve">  </w:t>
      </w:r>
    </w:p>
    <w:tbl>
      <w:tblPr>
        <w:tblW w:w="14140" w:type="dxa"/>
        <w:tblInd w:w="-5" w:type="dxa"/>
        <w:tblLook w:val="04A0" w:firstRow="1" w:lastRow="0" w:firstColumn="1" w:lastColumn="0" w:noHBand="0" w:noVBand="1"/>
      </w:tblPr>
      <w:tblGrid>
        <w:gridCol w:w="2790"/>
        <w:gridCol w:w="1750"/>
        <w:gridCol w:w="1920"/>
        <w:gridCol w:w="1920"/>
        <w:gridCol w:w="1920"/>
        <w:gridCol w:w="1920"/>
        <w:gridCol w:w="1920"/>
      </w:tblGrid>
      <w:tr w:rsidR="00B14AD5" w:rsidRPr="00C444BB" w:rsidTr="005275AE">
        <w:trPr>
          <w:cantSplit/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Model Description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In Situ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Stage I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Stage II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Stage III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Node Negative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Node Posi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tive 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Number in Analysis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12,484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31,005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14,337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2,600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52,382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8,044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Number (%) who receive RT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5,307 (43%)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17,008 (55%)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5,463 (38%)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981 (38%)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25,312 (48%)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3,447 (43%)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Unadjusted Model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RT (Claims, ref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*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=No)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76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46-1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27)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43 (1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05-1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95)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78 (1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10-2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87)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33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84-13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27)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29 (1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02-1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64)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25 (1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13-4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47)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Adjusted Model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RT (Claims, ref=No)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87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44-1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53 (1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00-2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34)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31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76-2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24)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does not converge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41 (1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05-1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91)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57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67-3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66)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Age (ref=67-69)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70-74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77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37-1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58)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03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62-1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91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31-2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96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65-1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44)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70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13-3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75)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75-79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06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52-2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53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94-2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49)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20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43-3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31)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38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95-2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01)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33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28-6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39)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80-84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58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23-1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41)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12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63-1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98)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46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54-4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00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65-1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55)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15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47-9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93)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85+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74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24-2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26)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29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65-2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57)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48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13-1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76)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98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57-1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67)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66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11-4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00)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Race (ref=White)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Black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79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28-2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17)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20 (1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22-3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98)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48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15-1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51)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30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79-2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14)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67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16-2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89)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41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05-3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15)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95 (1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02-3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73)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32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68-7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41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79-2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61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81-16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07)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Marital Status (ref=Married)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Unmarried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08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65-1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75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55-1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69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42-1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15)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83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65-1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06)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66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33-1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32)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29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04-2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31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08-1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28)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34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05-2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26 (0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08-0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82)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62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08-4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67)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071E5C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US"/>
              </w:rPr>
            </w:pPr>
            <w:r w:rsidRPr="00071E5C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US"/>
              </w:rPr>
              <w:t xml:space="preserve">Median </w:t>
            </w:r>
            <w:r w:rsidRPr="00A800F3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US"/>
              </w:rPr>
              <w:t xml:space="preserve">household income </w:t>
            </w:r>
            <w:r w:rsidRPr="00071E5C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US"/>
              </w:rPr>
              <w:t>(ref= &lt;$33,000)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071E5C" w:rsidRDefault="00B14AD5" w:rsidP="005275AE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US"/>
              </w:rPr>
            </w:pPr>
            <w:r w:rsidRPr="00071E5C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US"/>
              </w:rPr>
              <w:t>$33,000-40,000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51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18-1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46)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27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70-2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31)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94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46-1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02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65-1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99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35-2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81)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071E5C" w:rsidRDefault="00B14AD5" w:rsidP="005275AE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US"/>
              </w:rPr>
            </w:pPr>
            <w:r w:rsidRPr="00071E5C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US"/>
              </w:rPr>
              <w:t>$40,000-50,000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30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53-3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21)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64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92-2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91)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67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28-1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41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90-2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58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17-2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03)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071E5C" w:rsidRDefault="00B14AD5" w:rsidP="005275AE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US"/>
              </w:rPr>
            </w:pPr>
            <w:r w:rsidRPr="00071E5C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US"/>
              </w:rPr>
              <w:t>$50,000-63,000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56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20-1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57)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35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71-2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59)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64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25-1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66)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99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60-1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65)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88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26-2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98)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071E5C" w:rsidRDefault="00B14AD5" w:rsidP="005275AE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US"/>
              </w:rPr>
            </w:pPr>
            <w:r w:rsidRPr="00071E5C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US"/>
              </w:rPr>
              <w:t>≥ $63,000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19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41-3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47)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40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71-2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68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20-2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36)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22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72-2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09)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62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12-3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17)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071E5C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US"/>
              </w:rPr>
            </w:pPr>
            <w:r w:rsidRPr="00A800F3">
              <w:rPr>
                <w:rFonts w:asciiTheme="minorHAnsi" w:eastAsia="Times New Roman" w:hAnsiTheme="minorHAnsi"/>
                <w:color w:val="000000"/>
                <w:sz w:val="20"/>
                <w:lang w:eastAsia="en-US"/>
              </w:rPr>
              <w:t xml:space="preserve">Education (% adults with High School diploma or less, </w:t>
            </w:r>
            <w:r w:rsidRPr="00071E5C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US"/>
              </w:rPr>
              <w:t>ref= &lt; 30%)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071E5C" w:rsidRDefault="00B14AD5" w:rsidP="005275AE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US"/>
              </w:rPr>
            </w:pPr>
            <w:r w:rsidRPr="00071E5C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US"/>
              </w:rPr>
              <w:t>30 to &lt; 40%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14 (1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04-4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44)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96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60-1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62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23-1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67)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13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79-1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64)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56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16-1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99)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5" w:rsidRPr="00071E5C" w:rsidRDefault="00B14AD5" w:rsidP="005275AE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US"/>
              </w:rPr>
            </w:pPr>
            <w:r w:rsidRPr="00071E5C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US"/>
              </w:rPr>
              <w:t>40 to &lt;50 %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74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79-3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81)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86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52-1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71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68-4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10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74-1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65)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94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66-5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69)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071E5C" w:rsidRDefault="00B14AD5" w:rsidP="005275AE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US"/>
              </w:rPr>
            </w:pPr>
            <w:r w:rsidRPr="00071E5C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US"/>
              </w:rPr>
              <w:t>50 to &lt; 60%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45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61-3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92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54-1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57)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33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48-3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68)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05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69-1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05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26-4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34)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071E5C" w:rsidRDefault="00B14AD5" w:rsidP="005275AE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US"/>
              </w:rPr>
            </w:pPr>
            <w:r w:rsidRPr="00071E5C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US"/>
              </w:rPr>
              <w:t>≥ 60%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11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38-3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94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51-1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75)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91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30-2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78)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93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56-1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55)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76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19-3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10)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Nonmetropolitan County (ref=Metro)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98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49-1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97)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70 (1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10-2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62)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55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25-1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27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90-1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42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10-1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67)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lastRenderedPageBreak/>
              <w:t>Elixhauser Comorbidity (ref=None)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 to 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95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52-1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1.31 (0.93-1.85)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52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88-2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24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94-1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30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61-2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78)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 or more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89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88-4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05)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86 (1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20-2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89)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14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53-2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45)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1.70 (1.19-2.43)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96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31-2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95)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Pre-diagnosis anemia (ref=No)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2.31 (1.22-4.37)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58 (1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09-2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29)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2.99 (1.67-5.36)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1.96 (1.46-2.62)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2.34 (1.07-5.13)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Grade (ref=Well differentiated)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Moderately differentiated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16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43-3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1.14 (0.81-1.61)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18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59-2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37)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not included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not included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Poorly differentiated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37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92-6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14)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0.91 (0.55-1.51)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11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51-2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Undifferentiated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14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28-4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2.47 (0.76-8.05)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7.14 (2.17-23.41)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Unknown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79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69-4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0.80 (0.41-1.56)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28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43-3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78)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Tumor size (ref= &lt;2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 cm)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0-&lt;=5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 cm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27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56-2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89)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1.14 (0.50-2.61)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49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20-1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96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64-1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44)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64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24-1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68)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&gt;5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 cm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no estimate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not included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77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15-3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96)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63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15-2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57)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74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14-3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90)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Missing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85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46-1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57)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2.17 (0.78-6.04)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64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50-5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34)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31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87-1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98)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73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43-6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94)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Lymph node involvement (ref=No positive nodes/Nodes not examined/Missing)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not included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not included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64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36-1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15)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not included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not included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Left laterality (ref=Right/missing)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89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54-1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45)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1.11 (0.83-1.50)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24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76-2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01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80-1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28)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80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89-3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64)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Hormone receptors (ref=ER+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*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 xml:space="preserve"> or PR+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*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ER– and PR–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26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06-1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07)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1.34 (0.68-2.65)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56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13-2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37)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81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46-1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44)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44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32-6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57)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Missing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91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47-1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76)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1.06 (0.47-2.42)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81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31-2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11)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13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75-1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71)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43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37-5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54)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Breast conserving surgery (Claims, ref=Mastectomy)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71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37-1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35)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1.00 (0.63-1.58)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64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95-2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84)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94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69-1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28)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64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74-3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68)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Disability status (ref=Not disabled)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79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23-2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0.71 (0.32-1.57)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94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43-2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08)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73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43-1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25)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69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49-5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88)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Medicaid Buy-In (ref=No)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87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47-1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61)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0.67 (0.31-1.45)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62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24-1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88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61-1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26)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31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07-1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31)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Geographic Region (ref=Midwest)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Northeast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0.38 (0.19-0.78)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1.65 (0.94-2.90)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0.41 (0.20-0.85)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89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60-1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41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17-1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02)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South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69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36-1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35)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1.65 (0.93-2.92)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60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29-1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25)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12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75-1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65)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0.28 (0.09-0.83)</w:t>
            </w:r>
          </w:p>
        </w:tc>
      </w:tr>
      <w:tr w:rsidR="00B14AD5" w:rsidRPr="00C444BB" w:rsidTr="005275AE">
        <w:trPr>
          <w:trHeight w:val="1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West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0.38 (0.19-0.76)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1.42 (0.84-2.40)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0.32 (0.17-0.60)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C444BB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82 (0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57-1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C444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17)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5" w:rsidRPr="003D6725" w:rsidRDefault="00B14AD5" w:rsidP="005275A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3D67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0.19 (0.08-0.46)</w:t>
            </w:r>
          </w:p>
        </w:tc>
      </w:tr>
    </w:tbl>
    <w:p w:rsidR="00B14AD5" w:rsidRPr="000A1F04" w:rsidRDefault="00B14AD5" w:rsidP="00B14AD5">
      <w:pPr>
        <w:tabs>
          <w:tab w:val="left" w:pos="5760"/>
        </w:tabs>
        <w:rPr>
          <w:rFonts w:asciiTheme="minorHAnsi" w:hAnsiTheme="minorHAnsi"/>
          <w:b/>
        </w:rPr>
      </w:pPr>
      <w:r>
        <w:rPr>
          <w:rFonts w:asciiTheme="minorHAnsi" w:hAnsiTheme="minorHAnsi"/>
          <w:iCs/>
          <w:color w:val="000000" w:themeColor="text1"/>
        </w:rPr>
        <w:t xml:space="preserve">* </w:t>
      </w:r>
      <w:r w:rsidRPr="000A1F04">
        <w:rPr>
          <w:rFonts w:asciiTheme="minorHAnsi" w:hAnsiTheme="minorHAnsi"/>
          <w:iCs/>
          <w:color w:val="000000" w:themeColor="text1"/>
        </w:rPr>
        <w:t>Abbreviations: RT: Radiation Therapy, ER: estrogen receptor, PR: progesterone receptor, REF: reference</w:t>
      </w:r>
      <w:r>
        <w:rPr>
          <w:rFonts w:asciiTheme="minorHAnsi" w:hAnsiTheme="minorHAnsi"/>
          <w:iCs/>
          <w:color w:val="000000" w:themeColor="text1"/>
        </w:rPr>
        <w:t>.</w:t>
      </w:r>
    </w:p>
    <w:p w:rsidR="007B765B" w:rsidRDefault="007B765B" w:rsidP="00B14AD5">
      <w:pPr>
        <w:tabs>
          <w:tab w:val="left" w:pos="6132"/>
        </w:tabs>
        <w:jc w:val="both"/>
      </w:pPr>
      <w:bookmarkStart w:id="0" w:name="_GoBack"/>
      <w:bookmarkEnd w:id="0"/>
    </w:p>
    <w:sectPr w:rsidR="007B765B" w:rsidSect="00B14A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4D3E"/>
    <w:multiLevelType w:val="hybridMultilevel"/>
    <w:tmpl w:val="731C5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04D9B"/>
    <w:multiLevelType w:val="hybridMultilevel"/>
    <w:tmpl w:val="43E4D88E"/>
    <w:lvl w:ilvl="0" w:tplc="4440C6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69E7"/>
    <w:multiLevelType w:val="multilevel"/>
    <w:tmpl w:val="1CEA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82476"/>
    <w:multiLevelType w:val="hybridMultilevel"/>
    <w:tmpl w:val="F962B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F5655"/>
    <w:multiLevelType w:val="hybridMultilevel"/>
    <w:tmpl w:val="09E60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95316"/>
    <w:multiLevelType w:val="hybridMultilevel"/>
    <w:tmpl w:val="46FE0C72"/>
    <w:lvl w:ilvl="0" w:tplc="39E092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F0DB7"/>
    <w:multiLevelType w:val="hybridMultilevel"/>
    <w:tmpl w:val="E5ACBF14"/>
    <w:lvl w:ilvl="0" w:tplc="EA3ECB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E4A40"/>
    <w:multiLevelType w:val="hybridMultilevel"/>
    <w:tmpl w:val="74EE6B3A"/>
    <w:lvl w:ilvl="0" w:tplc="27A2FB4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2BB17CB"/>
    <w:multiLevelType w:val="hybridMultilevel"/>
    <w:tmpl w:val="96FCB224"/>
    <w:lvl w:ilvl="0" w:tplc="588085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57D90"/>
    <w:multiLevelType w:val="hybridMultilevel"/>
    <w:tmpl w:val="CF8A628A"/>
    <w:lvl w:ilvl="0" w:tplc="1450C4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070B7"/>
    <w:multiLevelType w:val="hybridMultilevel"/>
    <w:tmpl w:val="D4E87D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979A7"/>
    <w:multiLevelType w:val="hybridMultilevel"/>
    <w:tmpl w:val="B7249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13F88"/>
    <w:multiLevelType w:val="hybridMultilevel"/>
    <w:tmpl w:val="6B10DDFE"/>
    <w:lvl w:ilvl="0" w:tplc="3D12435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D5"/>
    <w:rsid w:val="007B765B"/>
    <w:rsid w:val="00B1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37768-3F82-4FF7-9ED1-EC058343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A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B14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AD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AD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B14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4AD5"/>
    <w:rPr>
      <w:rFonts w:ascii="Segoe UI" w:eastAsiaTheme="minorHAns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B14AD5"/>
    <w:pPr>
      <w:spacing w:after="0"/>
    </w:pPr>
    <w:rPr>
      <w:rFonts w:ascii="Times New Roman" w:eastAsiaTheme="minorHAnsi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4AD5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4A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14AD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qFormat/>
    <w:rsid w:val="00B14AD5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4AD5"/>
    <w:rPr>
      <w:rFonts w:ascii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4AD5"/>
    <w:rPr>
      <w:rFonts w:ascii="Calibri" w:eastAsiaTheme="minorHAnsi" w:hAnsi="Calibri" w:cs="Consolas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14AD5"/>
    <w:pPr>
      <w:ind w:left="720"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1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14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4AD5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AD5"/>
    <w:rPr>
      <w:rFonts w:ascii="Times New Roman" w:eastAsiaTheme="minorHAnsi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B14AD5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14AD5"/>
    <w:rPr>
      <w:rFonts w:ascii="Times New Roman" w:eastAsiaTheme="minorHAnsi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14AD5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14AD5"/>
    <w:rPr>
      <w:rFonts w:ascii="Times New Roman" w:eastAsiaTheme="minorHAnsi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4AD5"/>
    <w:rPr>
      <w:color w:val="336699"/>
      <w:u w:val="single"/>
    </w:rPr>
  </w:style>
  <w:style w:type="character" w:customStyle="1" w:styleId="bibref2">
    <w:name w:val="bibref2"/>
    <w:basedOn w:val="DefaultParagraphFont"/>
    <w:rsid w:val="00B14AD5"/>
  </w:style>
  <w:style w:type="character" w:customStyle="1" w:styleId="hoverlayer3">
    <w:name w:val="hoverlayer3"/>
    <w:basedOn w:val="DefaultParagraphFont"/>
    <w:rsid w:val="00B14AD5"/>
    <w:rPr>
      <w:vanish/>
      <w:webHidden w:val="0"/>
      <w:specVanish w:val="0"/>
    </w:rPr>
  </w:style>
  <w:style w:type="character" w:customStyle="1" w:styleId="closebtn1">
    <w:name w:val="closebtn1"/>
    <w:basedOn w:val="DefaultParagraphFont"/>
    <w:rsid w:val="00B14AD5"/>
    <w:rPr>
      <w:b/>
      <w:bCs/>
      <w:strike w:val="0"/>
      <w:dstrike w:val="0"/>
      <w:color w:val="333333"/>
      <w:sz w:val="17"/>
      <w:szCs w:val="17"/>
      <w:u w:val="none"/>
      <w:effect w:val="none"/>
      <w:bdr w:val="single" w:sz="12" w:space="4" w:color="AAAAAA" w:frame="1"/>
      <w:shd w:val="clear" w:color="auto" w:fill="FFFFFF"/>
    </w:rPr>
  </w:style>
  <w:style w:type="character" w:customStyle="1" w:styleId="reflabel4">
    <w:name w:val="reflabel4"/>
    <w:basedOn w:val="DefaultParagraphFont"/>
    <w:rsid w:val="00B14AD5"/>
  </w:style>
  <w:style w:type="character" w:customStyle="1" w:styleId="reference2">
    <w:name w:val="reference2"/>
    <w:basedOn w:val="DefaultParagraphFont"/>
    <w:rsid w:val="00B14AD5"/>
  </w:style>
  <w:style w:type="character" w:customStyle="1" w:styleId="reftitle3">
    <w:name w:val="reftitle3"/>
    <w:basedOn w:val="DefaultParagraphFont"/>
    <w:rsid w:val="00B14AD5"/>
    <w:rPr>
      <w:b/>
      <w:bCs/>
    </w:rPr>
  </w:style>
  <w:style w:type="character" w:customStyle="1" w:styleId="refseriestitle3">
    <w:name w:val="refseriestitle3"/>
    <w:basedOn w:val="DefaultParagraphFont"/>
    <w:rsid w:val="00B14AD5"/>
    <w:rPr>
      <w:i/>
      <w:iCs/>
    </w:rPr>
  </w:style>
  <w:style w:type="character" w:customStyle="1" w:styleId="b0015">
    <w:name w:val="b0015"/>
    <w:basedOn w:val="DefaultParagraphFont"/>
    <w:rsid w:val="00B1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4241</Characters>
  <Application>Microsoft Office Word</Application>
  <DocSecurity>0</DocSecurity>
  <Lines>35</Lines>
  <Paragraphs>9</Paragraphs>
  <ScaleCrop>false</ScaleCrop>
  <Company>Yale University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Xin</dc:creator>
  <cp:keywords/>
  <dc:description/>
  <cp:lastModifiedBy>Hu, Xin</cp:lastModifiedBy>
  <cp:revision>1</cp:revision>
  <dcterms:created xsi:type="dcterms:W3CDTF">2017-09-05T14:23:00Z</dcterms:created>
  <dcterms:modified xsi:type="dcterms:W3CDTF">2017-09-05T14:23:00Z</dcterms:modified>
</cp:coreProperties>
</file>