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A8" w:rsidRPr="006438B6" w:rsidRDefault="00EF12A8" w:rsidP="00EF12A8">
      <w:pPr>
        <w:pStyle w:val="NoSpacing"/>
      </w:pPr>
      <w:r>
        <w:t xml:space="preserve">S7 </w:t>
      </w:r>
      <w:r w:rsidRPr="006438B6">
        <w:t xml:space="preserve">Table: </w:t>
      </w:r>
      <w:r>
        <w:t xml:space="preserve">Relative </w:t>
      </w:r>
      <w:r w:rsidRPr="006438B6">
        <w:t xml:space="preserve">Scaling Exponents for Population and </w:t>
      </w:r>
      <w:r>
        <w:t>Non-</w:t>
      </w:r>
      <w:r w:rsidRPr="006438B6">
        <w:t>Attainment with the Clean Air Act.</w:t>
      </w:r>
    </w:p>
    <w:p w:rsidR="00EF12A8" w:rsidRPr="00AE4A27" w:rsidRDefault="00EF12A8" w:rsidP="00EF12A8">
      <w:pPr>
        <w:pStyle w:val="NoSpacing"/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496"/>
        <w:gridCol w:w="1713"/>
        <w:gridCol w:w="890"/>
        <w:gridCol w:w="1500"/>
        <w:gridCol w:w="890"/>
        <w:gridCol w:w="1235"/>
        <w:gridCol w:w="1050"/>
      </w:tblGrid>
      <w:tr w:rsidR="00EF12A8" w:rsidRPr="00B16C4D" w:rsidTr="00AB1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EF12A8" w:rsidRPr="006438B6" w:rsidRDefault="00EF12A8" w:rsidP="00AB17EF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78" w:type="dxa"/>
            <w:gridSpan w:val="6"/>
          </w:tcPr>
          <w:p w:rsidR="00EF12A8" w:rsidRPr="006438B6" w:rsidRDefault="00EF12A8" w:rsidP="00AB17E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Regression with </w:t>
            </w:r>
            <w:r w:rsidRPr="006438B6">
              <w:rPr>
                <w:sz w:val="20"/>
                <w:szCs w:val="20"/>
              </w:rPr>
              <w:t>Counties</w:t>
            </w:r>
            <w:r>
              <w:rPr>
                <w:sz w:val="20"/>
                <w:szCs w:val="20"/>
              </w:rPr>
              <w:t xml:space="preserve"> Both In and</w:t>
            </w:r>
            <w:r w:rsidRPr="006438B6">
              <w:rPr>
                <w:sz w:val="20"/>
                <w:szCs w:val="20"/>
              </w:rPr>
              <w:t xml:space="preserve"> Out of Attainment with Clean Air Act</w:t>
            </w:r>
          </w:p>
        </w:tc>
      </w:tr>
      <w:tr w:rsidR="00EF12A8" w:rsidRPr="00B16C4D" w:rsidTr="00AB1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top w:val="single" w:sz="8" w:space="0" w:color="000000" w:themeColor="text1"/>
              <w:bottom w:val="nil"/>
            </w:tcBorders>
          </w:tcPr>
          <w:p w:rsidR="00EF12A8" w:rsidRPr="006438B6" w:rsidRDefault="00EF12A8" w:rsidP="00AB17EF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EF12A8" w:rsidRPr="006438B6" w:rsidRDefault="00EF12A8" w:rsidP="00AB17E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438B6"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2390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EF12A8" w:rsidRPr="006438B6" w:rsidRDefault="00EF12A8" w:rsidP="00AB17E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438B6">
              <w:rPr>
                <w:b/>
                <w:sz w:val="20"/>
                <w:szCs w:val="20"/>
              </w:rPr>
              <w:t>Emission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EF12A8" w:rsidRPr="006438B6" w:rsidRDefault="00EF12A8" w:rsidP="00AB17E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438B6">
              <w:rPr>
                <w:b/>
                <w:sz w:val="20"/>
                <w:szCs w:val="20"/>
              </w:rPr>
              <w:t>Marginal Damage</w:t>
            </w:r>
          </w:p>
        </w:tc>
      </w:tr>
      <w:tr w:rsidR="00EF12A8" w:rsidRPr="00B16C4D" w:rsidTr="00AB17EF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2A8" w:rsidRPr="006438B6" w:rsidRDefault="00EF12A8" w:rsidP="00AB17EF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Pollutant(s)</w:t>
            </w:r>
          </w:p>
          <w:p w:rsidR="00EF12A8" w:rsidRPr="006438B6" w:rsidRDefault="00EF12A8" w:rsidP="00AB17EF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12A8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Exponent</w:t>
            </w:r>
          </w:p>
          <w:p w:rsidR="00EF12A8" w:rsidRPr="006438B6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(95% C.I.)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2A8" w:rsidRPr="006438B6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R</w:t>
            </w:r>
            <w:r w:rsidRPr="006438B6">
              <w:rPr>
                <w:sz w:val="20"/>
                <w:szCs w:val="20"/>
                <w:vertAlign w:val="superscript"/>
              </w:rPr>
              <w:t>2</w:t>
            </w:r>
            <w:r w:rsidRPr="006438B6">
              <w:rPr>
                <w:sz w:val="20"/>
                <w:szCs w:val="20"/>
              </w:rPr>
              <w:t xml:space="preserve"> </w:t>
            </w:r>
          </w:p>
          <w:p w:rsidR="00EF12A8" w:rsidRPr="006438B6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12A8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Exponent</w:t>
            </w:r>
          </w:p>
          <w:p w:rsidR="00EF12A8" w:rsidRPr="006438B6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(95% C.I.)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2A8" w:rsidRPr="006438B6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R</w:t>
            </w:r>
            <w:r w:rsidRPr="006438B6">
              <w:rPr>
                <w:sz w:val="20"/>
                <w:szCs w:val="20"/>
                <w:vertAlign w:val="superscript"/>
              </w:rPr>
              <w:t>2</w:t>
            </w:r>
            <w:r w:rsidRPr="006438B6">
              <w:rPr>
                <w:sz w:val="20"/>
                <w:szCs w:val="20"/>
              </w:rPr>
              <w:t xml:space="preserve"> </w:t>
            </w:r>
          </w:p>
          <w:p w:rsidR="00EF12A8" w:rsidRPr="006438B6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12A8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Exponent</w:t>
            </w:r>
          </w:p>
          <w:p w:rsidR="00EF12A8" w:rsidRPr="006438B6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(95% C.I.)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:rsidR="00EF12A8" w:rsidRPr="006438B6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R</w:t>
            </w:r>
            <w:r w:rsidRPr="006438B6">
              <w:rPr>
                <w:sz w:val="20"/>
                <w:szCs w:val="20"/>
                <w:vertAlign w:val="superscript"/>
              </w:rPr>
              <w:t>2</w:t>
            </w:r>
            <w:r w:rsidRPr="006438B6">
              <w:rPr>
                <w:sz w:val="20"/>
                <w:szCs w:val="20"/>
              </w:rPr>
              <w:t xml:space="preserve"> </w:t>
            </w:r>
          </w:p>
          <w:p w:rsidR="00EF12A8" w:rsidRPr="006438B6" w:rsidRDefault="00EF12A8" w:rsidP="00AB17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</w:p>
        </w:tc>
      </w:tr>
      <w:tr w:rsidR="00EF12A8" w:rsidRPr="00B16C4D" w:rsidTr="00AB17E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auto"/>
              <w:right w:val="single" w:sz="4" w:space="0" w:color="auto"/>
            </w:tcBorders>
          </w:tcPr>
          <w:p w:rsidR="00EF12A8" w:rsidRPr="006438B6" w:rsidRDefault="00EF12A8" w:rsidP="00AB17EF">
            <w:pPr>
              <w:pStyle w:val="NoSpacing"/>
              <w:rPr>
                <w:b w:val="0"/>
                <w:sz w:val="20"/>
                <w:szCs w:val="20"/>
                <w:vertAlign w:val="subscript"/>
              </w:rPr>
            </w:pPr>
            <w:r w:rsidRPr="006438B6">
              <w:rPr>
                <w:sz w:val="20"/>
                <w:szCs w:val="20"/>
              </w:rPr>
              <w:t>CO</w:t>
            </w:r>
            <w:r w:rsidRPr="006438B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-0.23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  <w:vertAlign w:val="superscript"/>
              </w:rPr>
            </w:pPr>
            <w:r w:rsidRPr="00B16C4D">
              <w:rPr>
                <w:rFonts w:ascii="Book Antiqua" w:hAnsi="Book Antiqua"/>
                <w:color w:val="000000"/>
                <w:sz w:val="20"/>
                <w:szCs w:val="20"/>
              </w:rPr>
              <w:t>(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-0.40,-0.06</w:t>
            </w:r>
            <w:r w:rsidRPr="00B16C4D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  <w:r w:rsidRPr="00B16C4D">
              <w:rPr>
                <w:rFonts w:ascii="Book Antiqua" w:hAnsi="Book Antiqua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Book Antiqua" w:hAnsi="Book Antiqua"/>
                <w:color w:val="000000"/>
                <w:sz w:val="20"/>
                <w:szCs w:val="20"/>
                <w:vertAlign w:val="superscript"/>
              </w:rPr>
              <w:t>,B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EF12A8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0.70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EF12A8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-0.35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(-0.52,-0.18)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</w:tcPr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16C4D">
              <w:rPr>
                <w:rFonts w:ascii="Book Antiqua" w:hAnsi="Book Antiqua"/>
                <w:color w:val="000000"/>
                <w:sz w:val="20"/>
                <w:szCs w:val="20"/>
              </w:rPr>
              <w:t>*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16C4D">
              <w:rPr>
                <w:rFonts w:ascii="Book Antiqua" w:hAnsi="Book Antiqua"/>
                <w:color w:val="000000"/>
                <w:sz w:val="20"/>
                <w:szCs w:val="20"/>
              </w:rPr>
              <w:t>*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EF12A8" w:rsidRPr="00B16C4D" w:rsidTr="00AB17E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right w:val="single" w:sz="4" w:space="0" w:color="auto"/>
            </w:tcBorders>
          </w:tcPr>
          <w:p w:rsidR="00EF12A8" w:rsidRPr="006438B6" w:rsidRDefault="00EF12A8" w:rsidP="00AB17EF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Local</w:t>
            </w:r>
          </w:p>
          <w:p w:rsidR="00EF12A8" w:rsidRPr="006438B6" w:rsidRDefault="00EF12A8" w:rsidP="00AB17EF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Pollutants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EF12A8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-0.22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(-0.39,-0.05)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EF12A8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0.71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F12A8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-0.19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(-0.35,-0.04)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F12A8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-0.36</w:t>
            </w:r>
          </w:p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(-0.50,-0.22)</w:t>
            </w:r>
          </w:p>
        </w:tc>
        <w:tc>
          <w:tcPr>
            <w:tcW w:w="1050" w:type="dxa"/>
          </w:tcPr>
          <w:p w:rsidR="00EF12A8" w:rsidRPr="00B16C4D" w:rsidRDefault="00EF12A8" w:rsidP="00AB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0.39</w:t>
            </w:r>
          </w:p>
        </w:tc>
      </w:tr>
    </w:tbl>
    <w:p w:rsidR="00EF12A8" w:rsidRDefault="00EF12A8" w:rsidP="00EF12A8">
      <w:pPr>
        <w:pStyle w:val="NoSpacing"/>
        <w:rPr>
          <w:sz w:val="20"/>
          <w:szCs w:val="20"/>
        </w:rPr>
      </w:pPr>
    </w:p>
    <w:p w:rsidR="00EF12A8" w:rsidRPr="009231E4" w:rsidRDefault="00EF12A8" w:rsidP="00EF12A8">
      <w:pPr>
        <w:pStyle w:val="NoSpacing"/>
        <w:rPr>
          <w:sz w:val="20"/>
          <w:szCs w:val="20"/>
        </w:rPr>
      </w:pPr>
      <w:r w:rsidRPr="00AB17EF">
        <w:rPr>
          <w:sz w:val="20"/>
          <w:szCs w:val="20"/>
        </w:rPr>
        <w:t>S7 Table presents estimates of the change in the scaling parameter linking population with local pollution and CO</w:t>
      </w:r>
      <w:r w:rsidRPr="00AB17EF">
        <w:rPr>
          <w:sz w:val="20"/>
          <w:szCs w:val="20"/>
          <w:vertAlign w:val="subscript"/>
        </w:rPr>
        <w:t>2</w:t>
      </w:r>
      <w:r w:rsidRPr="00AB17EF">
        <w:rPr>
          <w:sz w:val="20"/>
          <w:szCs w:val="20"/>
        </w:rPr>
        <w:t xml:space="preserve"> (emissions, marginal damages, and total damages) for counties that are out of attainment with the NAAQS relative to in attainment with the NAAQS.  These parameters are estimated using ordinary least squares. </w:t>
      </w:r>
      <w:r w:rsidRPr="009231E4">
        <w:rPr>
          <w:sz w:val="20"/>
          <w:szCs w:val="20"/>
        </w:rPr>
        <w:t>We report the coefficient estimate (with 95% C.I.s) of the interaction between log of population and an indicator which is one if the county has even been out of attainment and zero otherwise.  Marginal damages from CO</w:t>
      </w:r>
      <w:r w:rsidRPr="009231E4">
        <w:rPr>
          <w:sz w:val="20"/>
          <w:szCs w:val="20"/>
          <w:vertAlign w:val="subscript"/>
        </w:rPr>
        <w:t>2</w:t>
      </w:r>
      <w:r w:rsidRPr="009231E4">
        <w:rPr>
          <w:sz w:val="20"/>
          <w:szCs w:val="20"/>
        </w:rPr>
        <w:t xml:space="preserve"> emissions do not vary across counties because CO</w:t>
      </w:r>
      <w:r w:rsidRPr="009231E4">
        <w:rPr>
          <w:sz w:val="20"/>
          <w:szCs w:val="20"/>
          <w:vertAlign w:val="subscript"/>
        </w:rPr>
        <w:t>2</w:t>
      </w:r>
      <w:r w:rsidRPr="009231E4">
        <w:rPr>
          <w:sz w:val="20"/>
          <w:szCs w:val="20"/>
        </w:rPr>
        <w:t xml:space="preserve"> is a global pollutant; this is why we do not estimate the scaling relationship between marginal damages and population when considering only CO</w:t>
      </w:r>
      <w:r w:rsidRPr="009231E4">
        <w:rPr>
          <w:sz w:val="20"/>
          <w:szCs w:val="20"/>
          <w:vertAlign w:val="subscript"/>
        </w:rPr>
        <w:t>2</w:t>
      </w:r>
      <w:r w:rsidRPr="009231E4">
        <w:rPr>
          <w:sz w:val="20"/>
          <w:szCs w:val="20"/>
        </w:rPr>
        <w:t xml:space="preserve"> emissions.</w:t>
      </w:r>
    </w:p>
    <w:p w:rsidR="00EF12A8" w:rsidRDefault="00EF12A8" w:rsidP="00EF12A8">
      <w:pPr>
        <w:pStyle w:val="NoSpacing"/>
        <w:rPr>
          <w:sz w:val="20"/>
          <w:szCs w:val="20"/>
        </w:rPr>
      </w:pPr>
    </w:p>
    <w:p w:rsidR="00EF12A8" w:rsidRDefault="00EF12A8" w:rsidP="00EF12A8">
      <w:pPr>
        <w:pStyle w:val="NoSpacing"/>
        <w:rPr>
          <w:sz w:val="20"/>
          <w:szCs w:val="20"/>
        </w:rPr>
      </w:pPr>
      <w:r w:rsidRPr="006438B6">
        <w:rPr>
          <w:sz w:val="20"/>
          <w:szCs w:val="20"/>
        </w:rPr>
        <w:t>A = 95% confidence interval based on standard errors clustered by settlement in parentheses.</w:t>
      </w:r>
    </w:p>
    <w:p w:rsidR="003B2B73" w:rsidRPr="00EF12A8" w:rsidRDefault="00EF12A8" w:rsidP="00EF12A8">
      <w:pPr>
        <w:spacing w:after="0" w:line="240" w:lineRule="auto"/>
        <w:rPr>
          <w:rFonts w:ascii="Book Antiqua" w:hAnsi="Book Antiqua"/>
        </w:rPr>
      </w:pPr>
      <w:bookmarkStart w:id="0" w:name="_GoBack"/>
      <w:r w:rsidRPr="00EF12A8">
        <w:rPr>
          <w:rFonts w:ascii="Book Antiqua" w:hAnsi="Book Antiqua"/>
          <w:sz w:val="20"/>
          <w:szCs w:val="20"/>
        </w:rPr>
        <w:t>B = All of these regressions are based on N= 3,540 observations.</w:t>
      </w:r>
      <w:bookmarkEnd w:id="0"/>
    </w:p>
    <w:sectPr w:rsidR="003B2B73" w:rsidRPr="00EF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zK1NDcztzA2MDBT0lEKTi0uzszPAykwrAUArAJSliwAAAA="/>
  </w:docVars>
  <w:rsids>
    <w:rsidRoot w:val="00EF12A8"/>
    <w:rsid w:val="001E3E85"/>
    <w:rsid w:val="00A95E61"/>
    <w:rsid w:val="00E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07E83-7D58-484E-93E7-D63FF880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2A8"/>
    <w:pPr>
      <w:spacing w:after="0" w:line="240" w:lineRule="auto"/>
    </w:pPr>
    <w:rPr>
      <w:rFonts w:ascii="Book Antiqua" w:hAnsi="Book Antiqua"/>
      <w:color w:val="000000" w:themeColor="text1" w:themeShade="BF"/>
      <w:sz w:val="24"/>
      <w:szCs w:val="24"/>
    </w:rPr>
  </w:style>
  <w:style w:type="table" w:styleId="LightShading">
    <w:name w:val="Light Shading"/>
    <w:basedOn w:val="TableNormal"/>
    <w:uiPriority w:val="60"/>
    <w:rsid w:val="00EF12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Akshaya Jha</dc:creator>
  <cp:keywords/>
  <dc:description/>
  <cp:lastModifiedBy>Akshaya Jha</cp:lastModifiedBy>
  <cp:revision>1</cp:revision>
  <dcterms:created xsi:type="dcterms:W3CDTF">2017-07-14T02:23:00Z</dcterms:created>
  <dcterms:modified xsi:type="dcterms:W3CDTF">2017-07-14T02:24:00Z</dcterms:modified>
</cp:coreProperties>
</file>