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9A0" w:rsidRPr="000C0642" w:rsidRDefault="000A39A0" w:rsidP="000A39A0">
      <w:pPr>
        <w:spacing w:after="0" w:line="480" w:lineRule="auto"/>
        <w:jc w:val="both"/>
        <w:rPr>
          <w:rFonts w:ascii="Arial" w:hAnsi="Arial" w:cs="Arial"/>
          <w:b/>
          <w:sz w:val="24"/>
          <w:u w:val="single"/>
          <w:lang w:val="en-US"/>
        </w:rPr>
      </w:pPr>
      <w:bookmarkStart w:id="0" w:name="_GoBack"/>
      <w:r w:rsidRPr="000C0642">
        <w:rPr>
          <w:rFonts w:ascii="Arial" w:hAnsi="Arial" w:cs="Arial"/>
          <w:b/>
          <w:sz w:val="24"/>
          <w:u w:val="single"/>
          <w:lang w:val="en-US"/>
        </w:rPr>
        <w:t>Supplement</w:t>
      </w:r>
      <w:r w:rsidR="0064083D">
        <w:rPr>
          <w:rFonts w:ascii="Arial" w:hAnsi="Arial" w:cs="Arial"/>
          <w:b/>
          <w:sz w:val="24"/>
          <w:u w:val="single"/>
          <w:lang w:val="en-US"/>
        </w:rPr>
        <w:t xml:space="preserve"> File S1</w:t>
      </w:r>
      <w:r w:rsidR="00B07470">
        <w:rPr>
          <w:rFonts w:ascii="Arial" w:hAnsi="Arial" w:cs="Arial"/>
          <w:b/>
          <w:sz w:val="24"/>
          <w:u w:val="single"/>
          <w:lang w:val="en-US"/>
        </w:rPr>
        <w:t>: Supplementary methods, figures (A-C) and tables (A+B)</w:t>
      </w:r>
    </w:p>
    <w:bookmarkEnd w:id="0"/>
    <w:p w:rsidR="000A39A0" w:rsidRPr="000C0642" w:rsidRDefault="000A39A0" w:rsidP="000A39A0">
      <w:pPr>
        <w:spacing w:after="0" w:line="480" w:lineRule="auto"/>
        <w:jc w:val="both"/>
        <w:rPr>
          <w:rFonts w:ascii="Arial" w:hAnsi="Arial" w:cs="Arial"/>
          <w:lang w:val="en-US"/>
        </w:rPr>
      </w:pPr>
    </w:p>
    <w:p w:rsidR="000A39A0" w:rsidRPr="000C0642" w:rsidRDefault="000A39A0" w:rsidP="000A39A0">
      <w:pPr>
        <w:spacing w:after="0" w:line="480" w:lineRule="auto"/>
        <w:jc w:val="both"/>
        <w:rPr>
          <w:rFonts w:ascii="Arial" w:hAnsi="Arial" w:cs="Arial"/>
          <w:u w:val="single"/>
          <w:lang w:val="en-US"/>
        </w:rPr>
      </w:pPr>
      <w:r w:rsidRPr="000C0642">
        <w:rPr>
          <w:rFonts w:ascii="Arial" w:hAnsi="Arial" w:cs="Arial"/>
          <w:b/>
          <w:u w:val="single"/>
          <w:lang w:val="en-US"/>
        </w:rPr>
        <w:t>Methods</w:t>
      </w:r>
      <w:r w:rsidR="002661E9" w:rsidRPr="000C0642">
        <w:rPr>
          <w:rFonts w:ascii="Arial" w:hAnsi="Arial" w:cs="Arial"/>
          <w:b/>
          <w:u w:val="single"/>
          <w:lang w:val="en-US"/>
        </w:rPr>
        <w:t xml:space="preserve">: </w:t>
      </w:r>
      <w:proofErr w:type="spellStart"/>
      <w:r w:rsidRPr="000C0642">
        <w:rPr>
          <w:rFonts w:ascii="Arial" w:hAnsi="Arial" w:cs="Arial"/>
          <w:b/>
          <w:u w:val="single"/>
          <w:lang w:val="en-US"/>
        </w:rPr>
        <w:t>Microsopic</w:t>
      </w:r>
      <w:proofErr w:type="spellEnd"/>
      <w:r w:rsidRPr="000C0642">
        <w:rPr>
          <w:rFonts w:ascii="Arial" w:hAnsi="Arial" w:cs="Arial"/>
          <w:b/>
          <w:u w:val="single"/>
          <w:lang w:val="en-US"/>
        </w:rPr>
        <w:t xml:space="preserve"> analysis</w:t>
      </w:r>
    </w:p>
    <w:p w:rsidR="000A39A0" w:rsidRPr="000C0642" w:rsidRDefault="000A39A0" w:rsidP="000A39A0">
      <w:pPr>
        <w:spacing w:after="0" w:line="480" w:lineRule="auto"/>
        <w:jc w:val="both"/>
        <w:rPr>
          <w:rFonts w:ascii="Arial" w:hAnsi="Arial" w:cs="Arial"/>
          <w:lang w:val="en-US"/>
        </w:rPr>
      </w:pPr>
      <w:r w:rsidRPr="000C0642">
        <w:rPr>
          <w:rFonts w:ascii="Arial" w:hAnsi="Arial" w:cs="Arial"/>
          <w:lang w:val="en-US"/>
        </w:rPr>
        <w:t xml:space="preserve">Bacterial cells (overnight culture) were labeled in DPBS with 0.1 mg/ml fluorescein </w:t>
      </w:r>
      <w:proofErr w:type="spellStart"/>
      <w:r w:rsidRPr="000C0642">
        <w:rPr>
          <w:rFonts w:ascii="Arial" w:hAnsi="Arial" w:cs="Arial"/>
          <w:lang w:val="en-US"/>
        </w:rPr>
        <w:t>isothiocyanate</w:t>
      </w:r>
      <w:proofErr w:type="spellEnd"/>
      <w:r w:rsidRPr="000C0642">
        <w:rPr>
          <w:rFonts w:ascii="Arial" w:hAnsi="Arial" w:cs="Arial"/>
          <w:lang w:val="en-US"/>
        </w:rPr>
        <w:t xml:space="preserve"> (</w:t>
      </w:r>
      <w:proofErr w:type="spellStart"/>
      <w:r w:rsidRPr="000C0642">
        <w:rPr>
          <w:rFonts w:ascii="Arial" w:hAnsi="Arial" w:cs="Arial"/>
          <w:lang w:val="en-US"/>
        </w:rPr>
        <w:t>Thermo</w:t>
      </w:r>
      <w:proofErr w:type="spellEnd"/>
      <w:r w:rsidRPr="000C0642">
        <w:rPr>
          <w:rFonts w:ascii="Arial" w:hAnsi="Arial" w:cs="Arial"/>
          <w:lang w:val="en-US"/>
        </w:rPr>
        <w:t xml:space="preserve"> Scientific, Waltham, USA) for 30 min at room temperature. After incubation, the bacterial cells were centrifuged (5000 × </w:t>
      </w:r>
      <w:r w:rsidRPr="000C0642">
        <w:rPr>
          <w:rFonts w:ascii="Arial" w:hAnsi="Arial" w:cs="Arial"/>
          <w:i/>
          <w:lang w:val="en-US"/>
        </w:rPr>
        <w:t>g</w:t>
      </w:r>
      <w:r w:rsidRPr="000C0642">
        <w:rPr>
          <w:rFonts w:ascii="Arial" w:hAnsi="Arial" w:cs="Arial"/>
          <w:lang w:val="en-US"/>
        </w:rPr>
        <w:t xml:space="preserve">, 5 min), washed thrice and the resulting pellet was suspended in DPBS supplemented with 0.5 mg/ml </w:t>
      </w:r>
      <w:proofErr w:type="spellStart"/>
      <w:r w:rsidRPr="000C0642">
        <w:rPr>
          <w:rFonts w:ascii="Arial" w:hAnsi="Arial" w:cs="Arial"/>
          <w:lang w:val="en-US"/>
        </w:rPr>
        <w:t>sulfo</w:t>
      </w:r>
      <w:proofErr w:type="spellEnd"/>
      <w:r w:rsidRPr="000C0642">
        <w:rPr>
          <w:rFonts w:ascii="Arial" w:hAnsi="Arial" w:cs="Arial"/>
          <w:lang w:val="en-US"/>
        </w:rPr>
        <w:t>-NHS-LC-biotin (</w:t>
      </w:r>
      <w:proofErr w:type="spellStart"/>
      <w:r w:rsidRPr="000C0642">
        <w:rPr>
          <w:rFonts w:ascii="Arial" w:hAnsi="Arial" w:cs="Arial"/>
          <w:lang w:val="en-US"/>
        </w:rPr>
        <w:t>Thermo</w:t>
      </w:r>
      <w:proofErr w:type="spellEnd"/>
      <w:r w:rsidRPr="000C0642">
        <w:rPr>
          <w:rFonts w:ascii="Arial" w:hAnsi="Arial" w:cs="Arial"/>
          <w:lang w:val="en-US"/>
        </w:rPr>
        <w:t xml:space="preserve"> Scientific, Waltham, USA) for 30 min at 37 °C. After washing the bacterial suspension three times with DPBS, phagocytosis assay was carried out as described above. At time point 1 h, macrophages with labeled bacteria were fixed with 4 % formaldehyde for 15 min at room temperature and, subsequently, nonspecific binding sites were blocked with 5 % FCS in DPBS for 5 min. Extracellular bacteria were labeled with Streptavidin-Alexa Fluor 546 (</w:t>
      </w:r>
      <w:proofErr w:type="spellStart"/>
      <w:r w:rsidRPr="000C0642">
        <w:rPr>
          <w:rFonts w:ascii="Arial" w:hAnsi="Arial" w:cs="Arial"/>
          <w:lang w:val="en-US"/>
        </w:rPr>
        <w:t>Thermo</w:t>
      </w:r>
      <w:proofErr w:type="spellEnd"/>
      <w:r w:rsidRPr="000C0642">
        <w:rPr>
          <w:rFonts w:ascii="Arial" w:hAnsi="Arial" w:cs="Arial"/>
          <w:lang w:val="en-US"/>
        </w:rPr>
        <w:t xml:space="preserve"> Scientific, Waltham, USA) for 45 min at room temperature.</w:t>
      </w:r>
      <w:r w:rsidR="003C2825" w:rsidRPr="000C0642">
        <w:rPr>
          <w:rFonts w:ascii="Arial" w:hAnsi="Arial" w:cs="Arial"/>
          <w:lang w:val="en-US"/>
        </w:rPr>
        <w:t xml:space="preserve"> All labeling was also performed alone</w:t>
      </w:r>
      <w:r w:rsidRPr="000C0642">
        <w:rPr>
          <w:rFonts w:ascii="Arial" w:hAnsi="Arial" w:cs="Arial"/>
          <w:lang w:val="en-US"/>
        </w:rPr>
        <w:t xml:space="preserve"> </w:t>
      </w:r>
      <w:r w:rsidR="003C2825" w:rsidRPr="000C0642">
        <w:rPr>
          <w:rFonts w:ascii="Arial" w:hAnsi="Arial" w:cs="Arial"/>
          <w:lang w:val="en-US"/>
        </w:rPr>
        <w:t xml:space="preserve">as control to confirm that to shine in other channels. </w:t>
      </w:r>
      <w:r w:rsidRPr="000C0642">
        <w:rPr>
          <w:rFonts w:ascii="Arial" w:hAnsi="Arial" w:cs="Arial"/>
          <w:lang w:val="en-US"/>
        </w:rPr>
        <w:t>Microscopy was performed with the Nikon Eclipse TE2000-S (Nikon instruments, Düsseldorf, Germany) and the images were processed and merged with ImageJ software (NIH, USA).</w:t>
      </w:r>
      <w:r w:rsidR="00DE14F9" w:rsidRPr="000C0642">
        <w:rPr>
          <w:rFonts w:ascii="Arial" w:hAnsi="Arial" w:cs="Arial"/>
          <w:lang w:val="en-US"/>
        </w:rPr>
        <w:t xml:space="preserve"> At least 100 macrophages were counted</w:t>
      </w:r>
      <w:r w:rsidR="008A7242" w:rsidRPr="000C0642">
        <w:rPr>
          <w:rFonts w:ascii="Arial" w:hAnsi="Arial" w:cs="Arial"/>
          <w:lang w:val="en-US"/>
        </w:rPr>
        <w:t xml:space="preserve"> (set as 1)</w:t>
      </w:r>
      <w:r w:rsidR="00490F2A" w:rsidRPr="000C0642">
        <w:rPr>
          <w:rFonts w:ascii="Arial" w:hAnsi="Arial" w:cs="Arial"/>
          <w:lang w:val="en-US"/>
        </w:rPr>
        <w:t xml:space="preserve">. </w:t>
      </w:r>
      <w:proofErr w:type="gramStart"/>
      <w:r w:rsidR="008A7242" w:rsidRPr="000C0642">
        <w:rPr>
          <w:rFonts w:ascii="Arial" w:hAnsi="Arial" w:cs="Arial"/>
          <w:lang w:val="en-US"/>
        </w:rPr>
        <w:t>Number of b</w:t>
      </w:r>
      <w:r w:rsidR="00490F2A" w:rsidRPr="000C0642">
        <w:rPr>
          <w:rFonts w:ascii="Arial" w:hAnsi="Arial" w:cs="Arial"/>
          <w:lang w:val="en-US"/>
        </w:rPr>
        <w:t>acterial cells (intracellular or extracellular) were</w:t>
      </w:r>
      <w:proofErr w:type="gramEnd"/>
      <w:r w:rsidR="00DE14F9" w:rsidRPr="000C0642">
        <w:rPr>
          <w:rFonts w:ascii="Arial" w:hAnsi="Arial" w:cs="Arial"/>
          <w:lang w:val="en-US"/>
        </w:rPr>
        <w:t xml:space="preserve"> </w:t>
      </w:r>
      <w:r w:rsidR="00627516" w:rsidRPr="000C0642">
        <w:rPr>
          <w:rFonts w:ascii="Arial" w:hAnsi="Arial" w:cs="Arial"/>
          <w:lang w:val="en-US"/>
        </w:rPr>
        <w:t xml:space="preserve">divided through the number of </w:t>
      </w:r>
      <w:r w:rsidR="00490F2A" w:rsidRPr="000C0642">
        <w:rPr>
          <w:rFonts w:ascii="Arial" w:hAnsi="Arial" w:cs="Arial"/>
          <w:lang w:val="en-US"/>
        </w:rPr>
        <w:t>macrophages</w:t>
      </w:r>
      <w:r w:rsidR="00627516" w:rsidRPr="000C0642">
        <w:rPr>
          <w:rFonts w:ascii="Arial" w:hAnsi="Arial" w:cs="Arial"/>
          <w:lang w:val="en-US"/>
        </w:rPr>
        <w:t xml:space="preserve"> </w:t>
      </w:r>
      <w:r w:rsidR="00490F2A" w:rsidRPr="000C0642">
        <w:rPr>
          <w:rFonts w:ascii="Arial" w:hAnsi="Arial" w:cs="Arial"/>
          <w:lang w:val="en-US"/>
        </w:rPr>
        <w:t>(</w:t>
      </w:r>
      <w:r w:rsidR="00710075" w:rsidRPr="000C0642">
        <w:rPr>
          <w:rFonts w:ascii="Arial" w:hAnsi="Arial" w:cs="Arial"/>
          <w:lang w:val="en-US"/>
        </w:rPr>
        <w:t xml:space="preserve">bacterial cells per macrophage; </w:t>
      </w:r>
      <w:r w:rsidR="00627516" w:rsidRPr="000C0642">
        <w:rPr>
          <w:rFonts w:ascii="Arial" w:hAnsi="Arial" w:cs="Arial"/>
          <w:lang w:val="en-US"/>
        </w:rPr>
        <w:t>see Table 2).</w:t>
      </w:r>
    </w:p>
    <w:p w:rsidR="002661E9" w:rsidRPr="000C0642" w:rsidRDefault="002661E9">
      <w:pPr>
        <w:rPr>
          <w:rFonts w:ascii="Arial" w:hAnsi="Arial" w:cs="Arial"/>
          <w:lang w:val="en-US"/>
        </w:rPr>
      </w:pPr>
      <w:r w:rsidRPr="000C0642">
        <w:rPr>
          <w:rFonts w:ascii="Arial" w:hAnsi="Arial" w:cs="Arial"/>
          <w:lang w:val="en-US"/>
        </w:rPr>
        <w:br w:type="page"/>
      </w:r>
    </w:p>
    <w:p w:rsidR="000A39A0" w:rsidRPr="000C0642" w:rsidRDefault="0064083D" w:rsidP="000A39A0">
      <w:pPr>
        <w:spacing w:after="0" w:line="480" w:lineRule="auto"/>
        <w:jc w:val="both"/>
        <w:rPr>
          <w:rFonts w:ascii="Arial" w:hAnsi="Arial" w:cs="Arial"/>
          <w:b/>
          <w:u w:val="single"/>
          <w:lang w:val="en-US"/>
        </w:rPr>
      </w:pPr>
      <w:r>
        <w:rPr>
          <w:rFonts w:ascii="Arial" w:hAnsi="Arial" w:cs="Arial"/>
          <w:b/>
          <w:u w:val="single"/>
          <w:lang w:val="en-US"/>
        </w:rPr>
        <w:lastRenderedPageBreak/>
        <w:t>Figure A</w:t>
      </w:r>
    </w:p>
    <w:p w:rsidR="002661E9" w:rsidRPr="000C0642" w:rsidRDefault="00FB3DC5" w:rsidP="002661E9">
      <w:pPr>
        <w:spacing w:after="0" w:line="480" w:lineRule="auto"/>
        <w:jc w:val="both"/>
        <w:rPr>
          <w:rFonts w:ascii="Arial" w:hAnsi="Arial" w:cs="Arial"/>
          <w:lang w:val="en-US"/>
        </w:rPr>
      </w:pPr>
      <w:r w:rsidRPr="000C0642">
        <w:rPr>
          <w:rFonts w:ascii="Arial" w:hAnsi="Arial" w:cs="Arial"/>
          <w:noProof/>
          <w:lang w:eastAsia="de-DE"/>
        </w:rPr>
        <w:drawing>
          <wp:inline distT="0" distB="0" distL="0" distR="0" wp14:anchorId="717DA8EF" wp14:editId="7CC6BE0D">
            <wp:extent cx="4096987" cy="7028614"/>
            <wp:effectExtent l="0" t="0" r="0" b="127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73" cy="7044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61E9" w:rsidRPr="000C0642" w:rsidRDefault="002661E9" w:rsidP="002661E9">
      <w:pPr>
        <w:spacing w:after="0" w:line="480" w:lineRule="auto"/>
        <w:jc w:val="both"/>
        <w:rPr>
          <w:rFonts w:ascii="Arial" w:hAnsi="Arial" w:cs="Arial"/>
          <w:lang w:val="en-US"/>
        </w:rPr>
      </w:pPr>
      <w:r w:rsidRPr="000C0642">
        <w:rPr>
          <w:rFonts w:ascii="Arial" w:hAnsi="Arial" w:cs="Arial"/>
          <w:b/>
          <w:lang w:val="en-US"/>
        </w:rPr>
        <w:t xml:space="preserve">Figure </w:t>
      </w:r>
      <w:r w:rsidR="00414539">
        <w:rPr>
          <w:rFonts w:ascii="Arial" w:hAnsi="Arial" w:cs="Arial"/>
          <w:b/>
          <w:lang w:val="en-US"/>
        </w:rPr>
        <w:t>A</w:t>
      </w:r>
      <w:r w:rsidRPr="000C0642">
        <w:rPr>
          <w:rFonts w:ascii="Arial" w:hAnsi="Arial" w:cs="Arial"/>
          <w:b/>
          <w:lang w:val="en-US"/>
        </w:rPr>
        <w:t xml:space="preserve">: </w:t>
      </w:r>
      <w:r w:rsidR="00797827">
        <w:rPr>
          <w:rFonts w:ascii="Arial" w:hAnsi="Arial" w:cs="Arial"/>
          <w:b/>
          <w:lang w:val="en-US"/>
        </w:rPr>
        <w:t>Microscopic pictures - b</w:t>
      </w:r>
      <w:r w:rsidRPr="000C0642">
        <w:rPr>
          <w:rFonts w:ascii="Arial" w:hAnsi="Arial" w:cs="Arial"/>
          <w:b/>
          <w:lang w:val="en-US"/>
        </w:rPr>
        <w:t>acteria labeled with FITC (green; all bacteria) and AlexaFluor546 (red; extracellular located bacteria).</w:t>
      </w:r>
      <w:r w:rsidRPr="000C0642">
        <w:rPr>
          <w:rFonts w:ascii="Arial" w:hAnsi="Arial" w:cs="Arial"/>
          <w:lang w:val="en-US"/>
        </w:rPr>
        <w:t xml:space="preserve"> It showed the localization of the bacteria with THP-1 macrophages 1 h after enabled phagocytosis.</w:t>
      </w:r>
      <w:r w:rsidR="008148C8" w:rsidRPr="000C0642">
        <w:rPr>
          <w:rFonts w:ascii="Arial" w:hAnsi="Arial" w:cs="Arial"/>
          <w:lang w:val="en-US"/>
        </w:rPr>
        <w:t xml:space="preserve"> The magnification is 400x.</w:t>
      </w:r>
    </w:p>
    <w:p w:rsidR="00CA4A98" w:rsidRPr="000C0642" w:rsidRDefault="00CA4A98" w:rsidP="002661E9">
      <w:pPr>
        <w:spacing w:after="0" w:line="480" w:lineRule="auto"/>
        <w:jc w:val="both"/>
        <w:rPr>
          <w:rFonts w:ascii="Arial" w:hAnsi="Arial" w:cs="Arial"/>
          <w:b/>
          <w:u w:val="single"/>
          <w:lang w:val="en-US"/>
        </w:rPr>
      </w:pPr>
      <w:r w:rsidRPr="000C0642">
        <w:rPr>
          <w:rFonts w:ascii="Arial" w:hAnsi="Arial" w:cs="Arial"/>
          <w:b/>
          <w:u w:val="single"/>
          <w:lang w:val="en-US"/>
        </w:rPr>
        <w:lastRenderedPageBreak/>
        <w:t xml:space="preserve">Figure </w:t>
      </w:r>
      <w:r w:rsidR="0064083D">
        <w:rPr>
          <w:rFonts w:ascii="Arial" w:hAnsi="Arial" w:cs="Arial"/>
          <w:b/>
          <w:u w:val="single"/>
          <w:lang w:val="en-US"/>
        </w:rPr>
        <w:t>B</w:t>
      </w:r>
    </w:p>
    <w:p w:rsidR="00512B68" w:rsidRPr="000C0642" w:rsidRDefault="0064083D" w:rsidP="002661E9">
      <w:pPr>
        <w:spacing w:after="0" w:line="480" w:lineRule="auto"/>
        <w:jc w:val="both"/>
        <w:rPr>
          <w:rFonts w:ascii="Arial" w:hAnsi="Arial" w:cs="Arial"/>
          <w:lang w:val="en-US"/>
        </w:rPr>
      </w:pPr>
      <w:r w:rsidRPr="000C0642">
        <w:rPr>
          <w:rFonts w:ascii="Arial" w:hAnsi="Arial" w:cs="Arial"/>
          <w:lang w:val="en-US"/>
        </w:rPr>
        <w:object w:dxaOrig="5983" w:dyaOrig="65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246.75pt" o:ole="">
            <v:imagedata r:id="rId8" o:title=""/>
          </v:shape>
          <o:OLEObject Type="Embed" ProgID="Prism6.Document" ShapeID="_x0000_i1025" DrawAspect="Content" ObjectID="_1559109758" r:id="rId9"/>
        </w:object>
      </w:r>
      <w:r w:rsidRPr="000C0642">
        <w:rPr>
          <w:rFonts w:ascii="Arial" w:hAnsi="Arial" w:cs="Arial"/>
          <w:lang w:val="en-US"/>
        </w:rPr>
        <w:object w:dxaOrig="5522" w:dyaOrig="6242">
          <v:shape id="_x0000_i1026" type="#_x0000_t75" style="width:212.25pt;height:240pt" o:ole="">
            <v:imagedata r:id="rId10" o:title=""/>
          </v:shape>
          <o:OLEObject Type="Embed" ProgID="Prism6.Document" ShapeID="_x0000_i1026" DrawAspect="Content" ObjectID="_1559109759" r:id="rId11"/>
        </w:object>
      </w:r>
    </w:p>
    <w:p w:rsidR="00512B68" w:rsidRPr="000C0642" w:rsidRDefault="00CA4A98" w:rsidP="002661E9">
      <w:pPr>
        <w:spacing w:after="0" w:line="480" w:lineRule="auto"/>
        <w:jc w:val="both"/>
        <w:rPr>
          <w:rFonts w:ascii="Arial" w:hAnsi="Arial" w:cs="Arial"/>
          <w:b/>
          <w:lang w:val="en-US"/>
        </w:rPr>
      </w:pPr>
      <w:r w:rsidRPr="000C0642">
        <w:rPr>
          <w:rFonts w:ascii="Arial" w:hAnsi="Arial" w:cs="Arial"/>
          <w:b/>
          <w:lang w:val="en-US"/>
        </w:rPr>
        <w:t xml:space="preserve">Figure </w:t>
      </w:r>
      <w:r w:rsidR="00414539">
        <w:rPr>
          <w:rFonts w:ascii="Arial" w:hAnsi="Arial" w:cs="Arial"/>
          <w:b/>
          <w:lang w:val="en-US"/>
        </w:rPr>
        <w:t>B</w:t>
      </w:r>
      <w:r w:rsidRPr="000C0642">
        <w:rPr>
          <w:rFonts w:ascii="Arial" w:hAnsi="Arial" w:cs="Arial"/>
          <w:b/>
          <w:lang w:val="en-US"/>
        </w:rPr>
        <w:t xml:space="preserve">: </w:t>
      </w:r>
      <w:r w:rsidR="003533F4" w:rsidRPr="000C0642">
        <w:rPr>
          <w:rFonts w:ascii="Arial" w:hAnsi="Arial" w:cs="Arial"/>
          <w:b/>
          <w:lang w:val="en-US"/>
        </w:rPr>
        <w:t>R</w:t>
      </w:r>
      <w:r w:rsidRPr="000C0642">
        <w:rPr>
          <w:rFonts w:ascii="Arial" w:hAnsi="Arial" w:cs="Arial"/>
          <w:b/>
          <w:lang w:val="en-US"/>
        </w:rPr>
        <w:t>elative quantification of intracellular reactive oxygen species and cytotoxicity of bacteria to macrophages</w:t>
      </w:r>
    </w:p>
    <w:p w:rsidR="00CA4A98" w:rsidRPr="000C0642" w:rsidRDefault="00CF29F1" w:rsidP="00CA4A98">
      <w:pPr>
        <w:spacing w:after="0"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</w:t>
      </w:r>
      <w:r w:rsidR="00CA4A98" w:rsidRPr="000C0642">
        <w:rPr>
          <w:rFonts w:ascii="Arial" w:hAnsi="Arial" w:cs="Arial"/>
          <w:lang w:val="en-US"/>
        </w:rPr>
        <w:t xml:space="preserve">) </w:t>
      </w:r>
      <w:r w:rsidR="00A57B9B" w:rsidRPr="000C0642">
        <w:rPr>
          <w:rFonts w:ascii="Arial" w:hAnsi="Arial" w:cs="Arial"/>
          <w:lang w:val="en-US"/>
        </w:rPr>
        <w:t xml:space="preserve">Emission of intracellular DCF after stimulation </w:t>
      </w:r>
      <w:r w:rsidR="00D648FB" w:rsidRPr="000C0642">
        <w:rPr>
          <w:rFonts w:ascii="Arial" w:hAnsi="Arial" w:cs="Arial"/>
          <w:lang w:val="en-US"/>
        </w:rPr>
        <w:t xml:space="preserve">of </w:t>
      </w:r>
      <w:r w:rsidR="00A57B9B" w:rsidRPr="000C0642">
        <w:rPr>
          <w:rFonts w:ascii="Arial" w:hAnsi="Arial" w:cs="Arial"/>
          <w:lang w:val="en-US"/>
        </w:rPr>
        <w:t xml:space="preserve">THP-1 macrophages with different </w:t>
      </w:r>
      <w:r w:rsidR="00A57B9B" w:rsidRPr="000C0642">
        <w:rPr>
          <w:rFonts w:ascii="Arial" w:hAnsi="Arial" w:cs="Arial"/>
          <w:i/>
          <w:lang w:val="en-US"/>
        </w:rPr>
        <w:t>S.</w:t>
      </w:r>
      <w:r w:rsidR="00D648FB" w:rsidRPr="000C0642">
        <w:rPr>
          <w:rFonts w:ascii="Arial" w:hAnsi="Arial" w:cs="Arial"/>
          <w:i/>
          <w:lang w:val="en-US"/>
        </w:rPr>
        <w:t> </w:t>
      </w:r>
      <w:r w:rsidR="00A57B9B" w:rsidRPr="000C0642">
        <w:rPr>
          <w:rFonts w:ascii="Arial" w:hAnsi="Arial" w:cs="Arial"/>
          <w:i/>
          <w:lang w:val="en-US"/>
        </w:rPr>
        <w:t xml:space="preserve">gallolyticus </w:t>
      </w:r>
      <w:r w:rsidR="00A57B9B" w:rsidRPr="000C0642">
        <w:rPr>
          <w:rFonts w:ascii="Arial" w:hAnsi="Arial" w:cs="Arial"/>
          <w:lang w:val="en-US"/>
        </w:rPr>
        <w:t xml:space="preserve">subsp. </w:t>
      </w:r>
      <w:r w:rsidR="00A57B9B" w:rsidRPr="000C0642">
        <w:rPr>
          <w:rFonts w:ascii="Arial" w:hAnsi="Arial" w:cs="Arial"/>
          <w:i/>
          <w:lang w:val="en-US"/>
        </w:rPr>
        <w:t xml:space="preserve">gallolyticus </w:t>
      </w:r>
      <w:r w:rsidR="00A57B9B" w:rsidRPr="000C0642">
        <w:rPr>
          <w:rFonts w:ascii="Arial" w:hAnsi="Arial" w:cs="Arial"/>
          <w:lang w:val="en-US"/>
        </w:rPr>
        <w:t xml:space="preserve">strains in comparison to the </w:t>
      </w:r>
      <w:r w:rsidR="00A57B9B" w:rsidRPr="000C0642">
        <w:rPr>
          <w:rFonts w:ascii="Arial" w:hAnsi="Arial" w:cs="Arial"/>
          <w:i/>
          <w:lang w:val="en-US"/>
        </w:rPr>
        <w:t xml:space="preserve">S. aureus </w:t>
      </w:r>
      <w:r w:rsidR="00A57B9B" w:rsidRPr="000C0642">
        <w:rPr>
          <w:rFonts w:ascii="Arial" w:hAnsi="Arial" w:cs="Arial"/>
          <w:lang w:val="en-US"/>
        </w:rPr>
        <w:t>strain ATCC25923</w:t>
      </w:r>
      <w:r w:rsidR="00D648FB" w:rsidRPr="000C0642">
        <w:rPr>
          <w:rFonts w:ascii="Arial" w:hAnsi="Arial" w:cs="Arial"/>
          <w:lang w:val="en-US"/>
        </w:rPr>
        <w:t xml:space="preserve"> </w:t>
      </w:r>
      <w:r w:rsidR="00706FA7" w:rsidRPr="000C0642">
        <w:rPr>
          <w:rFonts w:ascii="Arial" w:hAnsi="Arial" w:cs="Arial"/>
          <w:lang w:val="en-US"/>
        </w:rPr>
        <w:t>and H</w:t>
      </w:r>
      <w:r w:rsidR="00706FA7" w:rsidRPr="000C0642">
        <w:rPr>
          <w:rFonts w:ascii="Arial" w:hAnsi="Arial" w:cs="Arial"/>
          <w:vertAlign w:val="subscript"/>
          <w:lang w:val="en-US"/>
        </w:rPr>
        <w:t>2</w:t>
      </w:r>
      <w:r w:rsidR="00706FA7" w:rsidRPr="000C0642">
        <w:rPr>
          <w:rFonts w:ascii="Arial" w:hAnsi="Arial" w:cs="Arial"/>
          <w:lang w:val="en-US"/>
        </w:rPr>
        <w:t>O</w:t>
      </w:r>
      <w:r w:rsidR="00706FA7" w:rsidRPr="000C0642">
        <w:rPr>
          <w:rFonts w:ascii="Arial" w:hAnsi="Arial" w:cs="Arial"/>
          <w:vertAlign w:val="subscript"/>
          <w:lang w:val="en-US"/>
        </w:rPr>
        <w:t>2</w:t>
      </w:r>
      <w:r w:rsidR="00706FA7" w:rsidRPr="000C0642">
        <w:rPr>
          <w:rFonts w:ascii="Arial" w:hAnsi="Arial" w:cs="Arial"/>
          <w:lang w:val="en-US"/>
        </w:rPr>
        <w:t xml:space="preserve"> (1 </w:t>
      </w:r>
      <w:proofErr w:type="spellStart"/>
      <w:r w:rsidR="00706FA7" w:rsidRPr="000C0642">
        <w:rPr>
          <w:rFonts w:ascii="Arial" w:hAnsi="Arial" w:cs="Arial"/>
          <w:lang w:val="en-US"/>
        </w:rPr>
        <w:t>mM</w:t>
      </w:r>
      <w:proofErr w:type="spellEnd"/>
      <w:r w:rsidR="00706FA7" w:rsidRPr="000C0642">
        <w:rPr>
          <w:rFonts w:ascii="Arial" w:hAnsi="Arial" w:cs="Arial"/>
          <w:lang w:val="en-US"/>
        </w:rPr>
        <w:t>) at time point 0 h.</w:t>
      </w:r>
    </w:p>
    <w:p w:rsidR="00A57B9B" w:rsidRPr="000C0642" w:rsidRDefault="00CF29F1" w:rsidP="00CA4A98">
      <w:pPr>
        <w:spacing w:after="0" w:line="48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</w:t>
      </w:r>
      <w:r w:rsidR="00A57B9B" w:rsidRPr="000C0642">
        <w:rPr>
          <w:rFonts w:ascii="Arial" w:hAnsi="Arial" w:cs="Arial"/>
          <w:lang w:val="en-US"/>
        </w:rPr>
        <w:t xml:space="preserve">) Lysis of THP-1 macrophages by different </w:t>
      </w:r>
      <w:r w:rsidR="00A57B9B" w:rsidRPr="000C0642">
        <w:rPr>
          <w:rFonts w:ascii="Arial" w:hAnsi="Arial" w:cs="Arial"/>
          <w:i/>
          <w:lang w:val="en-US"/>
        </w:rPr>
        <w:t xml:space="preserve">S. gallolyticus </w:t>
      </w:r>
      <w:r w:rsidR="00A57B9B" w:rsidRPr="000C0642">
        <w:rPr>
          <w:rFonts w:ascii="Arial" w:hAnsi="Arial" w:cs="Arial"/>
          <w:lang w:val="en-US"/>
        </w:rPr>
        <w:t xml:space="preserve">subsp. </w:t>
      </w:r>
      <w:r w:rsidR="00A57B9B" w:rsidRPr="000C0642">
        <w:rPr>
          <w:rFonts w:ascii="Arial" w:hAnsi="Arial" w:cs="Arial"/>
          <w:i/>
          <w:lang w:val="en-US"/>
        </w:rPr>
        <w:t xml:space="preserve">gallolyticus </w:t>
      </w:r>
      <w:r w:rsidR="00A57B9B" w:rsidRPr="000C0642">
        <w:rPr>
          <w:rFonts w:ascii="Arial" w:hAnsi="Arial" w:cs="Arial"/>
          <w:lang w:val="en-US"/>
        </w:rPr>
        <w:t xml:space="preserve">strains </w:t>
      </w:r>
      <w:r w:rsidR="00702A9F" w:rsidRPr="000C0642">
        <w:rPr>
          <w:rFonts w:ascii="Arial" w:hAnsi="Arial" w:cs="Arial"/>
          <w:lang w:val="en-US"/>
        </w:rPr>
        <w:t>and</w:t>
      </w:r>
      <w:r w:rsidR="00A57B9B" w:rsidRPr="000C0642">
        <w:rPr>
          <w:rFonts w:ascii="Arial" w:hAnsi="Arial" w:cs="Arial"/>
          <w:lang w:val="en-US"/>
        </w:rPr>
        <w:t xml:space="preserve"> the </w:t>
      </w:r>
      <w:r w:rsidR="00A57B9B" w:rsidRPr="000C0642">
        <w:rPr>
          <w:rFonts w:ascii="Arial" w:hAnsi="Arial" w:cs="Arial"/>
          <w:i/>
          <w:lang w:val="en-US"/>
        </w:rPr>
        <w:t xml:space="preserve">S. aureus </w:t>
      </w:r>
      <w:r w:rsidR="00A57B9B" w:rsidRPr="000C0642">
        <w:rPr>
          <w:rFonts w:ascii="Arial" w:hAnsi="Arial" w:cs="Arial"/>
          <w:lang w:val="en-US"/>
        </w:rPr>
        <w:t>strain ATCC 25923 measured with a LDH cytotoxicity assay</w:t>
      </w:r>
      <w:r w:rsidR="00D648FB" w:rsidRPr="000C0642">
        <w:rPr>
          <w:rFonts w:ascii="Arial" w:hAnsi="Arial" w:cs="Arial"/>
          <w:lang w:val="en-US"/>
        </w:rPr>
        <w:t xml:space="preserve"> (t = 5 h)</w:t>
      </w:r>
      <w:r w:rsidR="00702A9F" w:rsidRPr="000C0642">
        <w:rPr>
          <w:rFonts w:ascii="Arial" w:hAnsi="Arial" w:cs="Arial"/>
          <w:lang w:val="en-US"/>
        </w:rPr>
        <w:t xml:space="preserve"> in comparison to the lysis of all THP-1 macrophages (100 %).</w:t>
      </w:r>
    </w:p>
    <w:p w:rsidR="003533F4" w:rsidRPr="000C0642" w:rsidRDefault="00C5341A" w:rsidP="00CA4A98">
      <w:pPr>
        <w:spacing w:after="0" w:line="480" w:lineRule="auto"/>
        <w:jc w:val="both"/>
        <w:rPr>
          <w:rFonts w:ascii="Arial" w:hAnsi="Arial" w:cs="Arial"/>
          <w:lang w:val="en-US"/>
        </w:rPr>
      </w:pPr>
      <w:r w:rsidRPr="000C0642">
        <w:rPr>
          <w:rFonts w:ascii="Arial" w:hAnsi="Arial" w:cs="Arial"/>
          <w:lang w:val="en-US"/>
        </w:rPr>
        <w:t xml:space="preserve">Shown is the mean with standard error. </w:t>
      </w:r>
      <w:r w:rsidR="00661616" w:rsidRPr="000C0642">
        <w:rPr>
          <w:rFonts w:ascii="Arial" w:hAnsi="Arial" w:cs="Arial"/>
          <w:lang w:val="en-US"/>
        </w:rPr>
        <w:t>Results of statistical analysis between strains or control (Mann-Whitney U test): *: p &lt; 0.05; **:</w:t>
      </w:r>
      <w:r w:rsidR="00D648FB" w:rsidRPr="000C0642">
        <w:rPr>
          <w:rFonts w:ascii="Arial" w:hAnsi="Arial" w:cs="Arial"/>
          <w:lang w:val="en-US"/>
        </w:rPr>
        <w:t> </w:t>
      </w:r>
      <w:r w:rsidR="00661616" w:rsidRPr="000C0642">
        <w:rPr>
          <w:rFonts w:ascii="Arial" w:hAnsi="Arial" w:cs="Arial"/>
          <w:lang w:val="en-US"/>
        </w:rPr>
        <w:t>p</w:t>
      </w:r>
      <w:r w:rsidR="00D648FB" w:rsidRPr="000C0642">
        <w:rPr>
          <w:rFonts w:ascii="Arial" w:hAnsi="Arial" w:cs="Arial"/>
          <w:lang w:val="en-US"/>
        </w:rPr>
        <w:t> </w:t>
      </w:r>
      <w:r w:rsidR="00661616" w:rsidRPr="000C0642">
        <w:rPr>
          <w:rFonts w:ascii="Arial" w:hAnsi="Arial" w:cs="Arial"/>
          <w:lang w:val="en-US"/>
        </w:rPr>
        <w:t>&lt; 0.005; n = 3</w:t>
      </w:r>
    </w:p>
    <w:p w:rsidR="003533F4" w:rsidRPr="000C0642" w:rsidRDefault="003533F4">
      <w:pPr>
        <w:rPr>
          <w:rFonts w:ascii="Arial" w:hAnsi="Arial" w:cs="Arial"/>
          <w:lang w:val="en-US"/>
        </w:rPr>
      </w:pPr>
      <w:r w:rsidRPr="000C0642">
        <w:rPr>
          <w:rFonts w:ascii="Arial" w:hAnsi="Arial" w:cs="Arial"/>
          <w:lang w:val="en-US"/>
        </w:rPr>
        <w:br w:type="page"/>
      </w:r>
    </w:p>
    <w:p w:rsidR="00A57B9B" w:rsidRPr="000C0642" w:rsidRDefault="003533F4" w:rsidP="00CA4A98">
      <w:pPr>
        <w:spacing w:after="0" w:line="480" w:lineRule="auto"/>
        <w:jc w:val="both"/>
        <w:rPr>
          <w:rFonts w:ascii="Arial" w:hAnsi="Arial" w:cs="Arial"/>
          <w:b/>
          <w:u w:val="single"/>
          <w:lang w:val="en-US"/>
        </w:rPr>
      </w:pPr>
      <w:r w:rsidRPr="000C0642">
        <w:rPr>
          <w:rFonts w:ascii="Arial" w:hAnsi="Arial" w:cs="Arial"/>
          <w:b/>
          <w:u w:val="single"/>
          <w:lang w:val="en-US"/>
        </w:rPr>
        <w:lastRenderedPageBreak/>
        <w:t xml:space="preserve">Figure </w:t>
      </w:r>
      <w:r w:rsidR="0064083D">
        <w:rPr>
          <w:rFonts w:ascii="Arial" w:hAnsi="Arial" w:cs="Arial"/>
          <w:b/>
          <w:u w:val="single"/>
          <w:lang w:val="en-US"/>
        </w:rPr>
        <w:t>C</w:t>
      </w:r>
    </w:p>
    <w:p w:rsidR="00F94846" w:rsidRPr="000C0642" w:rsidRDefault="0064083D" w:rsidP="002661E9">
      <w:pPr>
        <w:spacing w:after="0" w:line="480" w:lineRule="auto"/>
        <w:jc w:val="both"/>
        <w:rPr>
          <w:rFonts w:ascii="Arial" w:hAnsi="Arial" w:cs="Arial"/>
        </w:rPr>
      </w:pPr>
      <w:r w:rsidRPr="000C0642">
        <w:rPr>
          <w:rFonts w:ascii="Arial" w:hAnsi="Arial" w:cs="Arial"/>
          <w:lang w:val="en-US"/>
        </w:rPr>
        <w:object w:dxaOrig="5443" w:dyaOrig="4966">
          <v:shape id="_x0000_i1027" type="#_x0000_t75" style="width:229.5pt;height:210pt" o:ole="">
            <v:imagedata r:id="rId12" o:title=""/>
          </v:shape>
          <o:OLEObject Type="Embed" ProgID="Prism6.Document" ShapeID="_x0000_i1027" DrawAspect="Content" ObjectID="_1559109760" r:id="rId13"/>
        </w:object>
      </w:r>
      <w:r w:rsidRPr="000C0642">
        <w:rPr>
          <w:rFonts w:ascii="Arial" w:hAnsi="Arial" w:cs="Arial"/>
          <w:lang w:val="en-US"/>
        </w:rPr>
        <w:object w:dxaOrig="5573" w:dyaOrig="4929">
          <v:shape id="_x0000_i1028" type="#_x0000_t75" style="width:237.75pt;height:210pt" o:ole="">
            <v:imagedata r:id="rId14" o:title=""/>
          </v:shape>
          <o:OLEObject Type="Embed" ProgID="Prism6.Document" ShapeID="_x0000_i1028" DrawAspect="Content" ObjectID="_1559109761" r:id="rId15"/>
        </w:object>
      </w:r>
      <w:r w:rsidRPr="000C0642">
        <w:object w:dxaOrig="9931" w:dyaOrig="4923">
          <v:shape id="_x0000_i1029" type="#_x0000_t75" style="width:423.75pt;height:210.75pt" o:ole="">
            <v:imagedata r:id="rId16" o:title=""/>
          </v:shape>
          <o:OLEObject Type="Embed" ProgID="Prism6.Document" ShapeID="_x0000_i1029" DrawAspect="Content" ObjectID="_1559109762" r:id="rId17"/>
        </w:object>
      </w:r>
    </w:p>
    <w:p w:rsidR="00F94846" w:rsidRPr="000C0642" w:rsidRDefault="003533F4" w:rsidP="002661E9">
      <w:pPr>
        <w:spacing w:after="0" w:line="480" w:lineRule="auto"/>
        <w:jc w:val="both"/>
        <w:rPr>
          <w:rFonts w:ascii="Arial" w:hAnsi="Arial" w:cs="Arial"/>
          <w:lang w:val="en-US"/>
        </w:rPr>
      </w:pPr>
      <w:r w:rsidRPr="000C0642">
        <w:rPr>
          <w:rFonts w:ascii="Arial" w:hAnsi="Arial" w:cs="Arial"/>
          <w:b/>
          <w:lang w:val="en-US"/>
        </w:rPr>
        <w:t xml:space="preserve">Figure </w:t>
      </w:r>
      <w:r w:rsidR="00414539">
        <w:rPr>
          <w:rFonts w:ascii="Arial" w:hAnsi="Arial" w:cs="Arial"/>
          <w:b/>
          <w:lang w:val="en-US"/>
        </w:rPr>
        <w:t>C</w:t>
      </w:r>
      <w:r w:rsidRPr="000C0642">
        <w:rPr>
          <w:rFonts w:ascii="Arial" w:hAnsi="Arial" w:cs="Arial"/>
          <w:b/>
          <w:lang w:val="en-US"/>
        </w:rPr>
        <w:t>: R</w:t>
      </w:r>
      <w:r w:rsidR="00661616" w:rsidRPr="000C0642">
        <w:rPr>
          <w:rFonts w:ascii="Arial" w:hAnsi="Arial" w:cs="Arial"/>
          <w:b/>
          <w:lang w:val="en-US"/>
        </w:rPr>
        <w:t xml:space="preserve">elative gene expression of </w:t>
      </w:r>
      <w:r w:rsidR="00661616" w:rsidRPr="000C0642">
        <w:rPr>
          <w:rFonts w:ascii="Arial" w:hAnsi="Arial" w:cs="Arial"/>
          <w:b/>
          <w:i/>
          <w:lang w:val="en-US"/>
        </w:rPr>
        <w:t>IL1B</w:t>
      </w:r>
      <w:r w:rsidRPr="000C0642">
        <w:rPr>
          <w:rFonts w:ascii="Arial" w:hAnsi="Arial" w:cs="Arial"/>
          <w:b/>
          <w:i/>
          <w:lang w:val="en-US"/>
        </w:rPr>
        <w:t xml:space="preserve"> </w:t>
      </w:r>
      <w:r w:rsidRPr="000C0642">
        <w:rPr>
          <w:rFonts w:ascii="Arial" w:hAnsi="Arial" w:cs="Arial"/>
          <w:b/>
          <w:lang w:val="en-US"/>
        </w:rPr>
        <w:t>(</w:t>
      </w:r>
      <w:r w:rsidR="00CF29F1">
        <w:rPr>
          <w:rFonts w:ascii="Arial" w:hAnsi="Arial" w:cs="Arial"/>
          <w:b/>
          <w:lang w:val="en-US"/>
        </w:rPr>
        <w:t>1</w:t>
      </w:r>
      <w:r w:rsidRPr="000C0642">
        <w:rPr>
          <w:rFonts w:ascii="Arial" w:hAnsi="Arial" w:cs="Arial"/>
          <w:b/>
          <w:lang w:val="en-US"/>
        </w:rPr>
        <w:t>)</w:t>
      </w:r>
      <w:r w:rsidR="00661616" w:rsidRPr="000C0642">
        <w:rPr>
          <w:rFonts w:ascii="Arial" w:hAnsi="Arial" w:cs="Arial"/>
          <w:b/>
          <w:lang w:val="en-US"/>
        </w:rPr>
        <w:t xml:space="preserve">, </w:t>
      </w:r>
      <w:r w:rsidR="00661616" w:rsidRPr="000C0642">
        <w:rPr>
          <w:rFonts w:ascii="Arial" w:hAnsi="Arial" w:cs="Arial"/>
          <w:b/>
          <w:i/>
          <w:lang w:val="en-US"/>
        </w:rPr>
        <w:t>IL6</w:t>
      </w:r>
      <w:r w:rsidRPr="000C0642">
        <w:rPr>
          <w:rFonts w:ascii="Arial" w:hAnsi="Arial" w:cs="Arial"/>
          <w:b/>
          <w:i/>
          <w:lang w:val="en-US"/>
        </w:rPr>
        <w:t xml:space="preserve"> </w:t>
      </w:r>
      <w:r w:rsidRPr="000C0642">
        <w:rPr>
          <w:rFonts w:ascii="Arial" w:hAnsi="Arial" w:cs="Arial"/>
          <w:b/>
          <w:lang w:val="en-US"/>
        </w:rPr>
        <w:t>(</w:t>
      </w:r>
      <w:r w:rsidR="00CF29F1">
        <w:rPr>
          <w:rFonts w:ascii="Arial" w:hAnsi="Arial" w:cs="Arial"/>
          <w:b/>
          <w:lang w:val="en-US"/>
        </w:rPr>
        <w:t>2</w:t>
      </w:r>
      <w:r w:rsidRPr="000C0642">
        <w:rPr>
          <w:rFonts w:ascii="Arial" w:hAnsi="Arial" w:cs="Arial"/>
          <w:b/>
          <w:lang w:val="en-US"/>
        </w:rPr>
        <w:t>)</w:t>
      </w:r>
      <w:r w:rsidR="00661616" w:rsidRPr="000C0642">
        <w:rPr>
          <w:rFonts w:ascii="Arial" w:hAnsi="Arial" w:cs="Arial"/>
          <w:b/>
          <w:i/>
          <w:lang w:val="en-US"/>
        </w:rPr>
        <w:t xml:space="preserve"> </w:t>
      </w:r>
      <w:r w:rsidR="00661616" w:rsidRPr="000C0642">
        <w:rPr>
          <w:rFonts w:ascii="Arial" w:hAnsi="Arial" w:cs="Arial"/>
          <w:b/>
          <w:lang w:val="en-US"/>
        </w:rPr>
        <w:t xml:space="preserve">and </w:t>
      </w:r>
      <w:r w:rsidR="00661616" w:rsidRPr="000C0642">
        <w:rPr>
          <w:rFonts w:ascii="Arial" w:hAnsi="Arial" w:cs="Arial"/>
          <w:b/>
          <w:i/>
          <w:lang w:val="en-US"/>
        </w:rPr>
        <w:t>IL8</w:t>
      </w:r>
      <w:r w:rsidRPr="000C0642">
        <w:rPr>
          <w:rFonts w:ascii="Arial" w:hAnsi="Arial" w:cs="Arial"/>
          <w:b/>
          <w:i/>
          <w:lang w:val="en-US"/>
        </w:rPr>
        <w:t xml:space="preserve"> </w:t>
      </w:r>
      <w:r w:rsidRPr="000C0642">
        <w:rPr>
          <w:rFonts w:ascii="Arial" w:hAnsi="Arial" w:cs="Arial"/>
          <w:b/>
          <w:lang w:val="en-US"/>
        </w:rPr>
        <w:t>(</w:t>
      </w:r>
      <w:r w:rsidR="00CF29F1">
        <w:rPr>
          <w:rFonts w:ascii="Arial" w:hAnsi="Arial" w:cs="Arial"/>
          <w:b/>
          <w:lang w:val="en-US"/>
        </w:rPr>
        <w:t>3</w:t>
      </w:r>
      <w:r w:rsidRPr="000C0642">
        <w:rPr>
          <w:rFonts w:ascii="Arial" w:hAnsi="Arial" w:cs="Arial"/>
          <w:b/>
          <w:lang w:val="en-US"/>
        </w:rPr>
        <w:t>)</w:t>
      </w:r>
      <w:r w:rsidR="00661616" w:rsidRPr="000C0642">
        <w:rPr>
          <w:rFonts w:ascii="Arial" w:hAnsi="Arial" w:cs="Arial"/>
          <w:b/>
          <w:i/>
          <w:lang w:val="en-US"/>
        </w:rPr>
        <w:t xml:space="preserve"> </w:t>
      </w:r>
      <w:r w:rsidR="00661616" w:rsidRPr="000C0642">
        <w:rPr>
          <w:rFonts w:ascii="Arial" w:hAnsi="Arial" w:cs="Arial"/>
          <w:b/>
          <w:lang w:val="en-US"/>
        </w:rPr>
        <w:t xml:space="preserve">of THP-1 macrophages after phagocytosis of </w:t>
      </w:r>
      <w:r w:rsidRPr="000C0642">
        <w:rPr>
          <w:rFonts w:ascii="Arial" w:hAnsi="Arial" w:cs="Arial"/>
          <w:b/>
          <w:lang w:val="en-US"/>
        </w:rPr>
        <w:t xml:space="preserve">different </w:t>
      </w:r>
      <w:r w:rsidRPr="000C0642">
        <w:rPr>
          <w:rFonts w:ascii="Arial" w:hAnsi="Arial" w:cs="Arial"/>
          <w:b/>
          <w:i/>
          <w:lang w:val="en-US"/>
        </w:rPr>
        <w:t xml:space="preserve">S. gallolyticus </w:t>
      </w:r>
      <w:r w:rsidRPr="000C0642">
        <w:rPr>
          <w:rFonts w:ascii="Arial" w:hAnsi="Arial" w:cs="Arial"/>
          <w:b/>
          <w:lang w:val="en-US"/>
        </w:rPr>
        <w:t xml:space="preserve">subsp. </w:t>
      </w:r>
      <w:r w:rsidRPr="000C0642">
        <w:rPr>
          <w:rFonts w:ascii="Arial" w:hAnsi="Arial" w:cs="Arial"/>
          <w:b/>
          <w:i/>
          <w:lang w:val="en-US"/>
        </w:rPr>
        <w:t xml:space="preserve">gallolyticus </w:t>
      </w:r>
      <w:r w:rsidRPr="000C0642">
        <w:rPr>
          <w:rFonts w:ascii="Arial" w:hAnsi="Arial" w:cs="Arial"/>
          <w:b/>
          <w:lang w:val="en-US"/>
        </w:rPr>
        <w:t xml:space="preserve">strains in comparison to the </w:t>
      </w:r>
      <w:r w:rsidRPr="000C0642">
        <w:rPr>
          <w:rFonts w:ascii="Arial" w:hAnsi="Arial" w:cs="Arial"/>
          <w:b/>
          <w:i/>
          <w:lang w:val="en-US"/>
        </w:rPr>
        <w:t xml:space="preserve">S. aureus </w:t>
      </w:r>
      <w:r w:rsidRPr="000C0642">
        <w:rPr>
          <w:rFonts w:ascii="Arial" w:hAnsi="Arial" w:cs="Arial"/>
          <w:b/>
          <w:lang w:val="en-US"/>
        </w:rPr>
        <w:t>strain ATCC 25923</w:t>
      </w:r>
      <w:r w:rsidRPr="000C0642">
        <w:rPr>
          <w:rFonts w:ascii="Arial" w:hAnsi="Arial" w:cs="Arial"/>
          <w:lang w:val="en-US"/>
        </w:rPr>
        <w:t xml:space="preserve">. </w:t>
      </w:r>
      <w:r w:rsidR="00682408" w:rsidRPr="000C0642">
        <w:rPr>
          <w:rFonts w:ascii="Arial" w:hAnsi="Arial" w:cs="Arial"/>
          <w:lang w:val="en-US"/>
        </w:rPr>
        <w:t>Relative gene expression of THP-1 macrophages 5 h after phagocytosis of different bacterial cells compared to control (black bar, set as 1, see dotted line)</w:t>
      </w:r>
      <w:r w:rsidR="00C5341A" w:rsidRPr="000C0642">
        <w:rPr>
          <w:rFonts w:ascii="Arial" w:hAnsi="Arial" w:cs="Arial"/>
          <w:lang w:val="en-US"/>
        </w:rPr>
        <w:t>. Shown is the mean with standard error</w:t>
      </w:r>
      <w:r w:rsidR="00682408" w:rsidRPr="000C0642">
        <w:rPr>
          <w:rFonts w:ascii="Arial" w:hAnsi="Arial" w:cs="Arial"/>
          <w:lang w:val="en-US"/>
        </w:rPr>
        <w:t xml:space="preserve">; </w:t>
      </w:r>
      <w:r w:rsidRPr="000C0642">
        <w:rPr>
          <w:rFonts w:ascii="Arial" w:hAnsi="Arial" w:cs="Arial"/>
          <w:lang w:val="en-US"/>
        </w:rPr>
        <w:t>n = 4</w:t>
      </w:r>
      <w:r w:rsidR="00962DE1" w:rsidRPr="000C0642">
        <w:rPr>
          <w:rFonts w:ascii="Arial" w:hAnsi="Arial" w:cs="Arial"/>
          <w:lang w:val="en-US"/>
        </w:rPr>
        <w:t>; NC = negative control</w:t>
      </w:r>
    </w:p>
    <w:p w:rsidR="00F94846" w:rsidRPr="000C0642" w:rsidRDefault="00F94846" w:rsidP="002661E9">
      <w:pPr>
        <w:spacing w:after="0" w:line="480" w:lineRule="auto"/>
        <w:jc w:val="both"/>
        <w:rPr>
          <w:rFonts w:ascii="Arial" w:hAnsi="Arial" w:cs="Arial"/>
          <w:lang w:val="en-US"/>
        </w:rPr>
      </w:pPr>
    </w:p>
    <w:p w:rsidR="00DC5E68" w:rsidRPr="000C0642" w:rsidRDefault="00DC5E68">
      <w:pPr>
        <w:rPr>
          <w:rFonts w:ascii="Arial" w:hAnsi="Arial" w:cs="Arial"/>
          <w:lang w:val="en-US"/>
        </w:rPr>
      </w:pPr>
      <w:r w:rsidRPr="000C0642">
        <w:rPr>
          <w:rFonts w:ascii="Arial" w:hAnsi="Arial" w:cs="Arial"/>
          <w:lang w:val="en-US"/>
        </w:rPr>
        <w:br w:type="page"/>
      </w:r>
    </w:p>
    <w:p w:rsidR="00BA0328" w:rsidRPr="000C0642" w:rsidRDefault="002661E9">
      <w:pPr>
        <w:rPr>
          <w:rFonts w:ascii="Arial" w:hAnsi="Arial" w:cs="Arial"/>
          <w:b/>
          <w:u w:val="single"/>
          <w:lang w:val="en-US"/>
        </w:rPr>
      </w:pPr>
      <w:r w:rsidRPr="000C0642">
        <w:rPr>
          <w:rFonts w:ascii="Arial" w:hAnsi="Arial" w:cs="Arial"/>
          <w:b/>
          <w:u w:val="single"/>
          <w:lang w:val="en-US"/>
        </w:rPr>
        <w:lastRenderedPageBreak/>
        <w:t>Tables:</w:t>
      </w:r>
    </w:p>
    <w:p w:rsidR="002661E9" w:rsidRPr="000C0642" w:rsidRDefault="002661E9" w:rsidP="002661E9">
      <w:pPr>
        <w:spacing w:after="0" w:line="48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0C0642">
        <w:rPr>
          <w:rFonts w:ascii="Arial" w:hAnsi="Arial" w:cs="Arial"/>
          <w:sz w:val="20"/>
          <w:szCs w:val="20"/>
          <w:lang w:val="en-US"/>
        </w:rPr>
        <w:t xml:space="preserve">Table </w:t>
      </w:r>
      <w:r w:rsidR="0064083D">
        <w:rPr>
          <w:rFonts w:ascii="Arial" w:hAnsi="Arial" w:cs="Arial"/>
          <w:sz w:val="20"/>
          <w:szCs w:val="20"/>
          <w:lang w:val="en-US"/>
        </w:rPr>
        <w:t>A</w:t>
      </w:r>
      <w:r w:rsidRPr="000C0642">
        <w:rPr>
          <w:rFonts w:ascii="Arial" w:hAnsi="Arial" w:cs="Arial"/>
          <w:sz w:val="20"/>
          <w:szCs w:val="20"/>
          <w:lang w:val="en-US"/>
        </w:rPr>
        <w:t xml:space="preserve">: </w:t>
      </w:r>
      <w:r w:rsidRPr="000C0642">
        <w:rPr>
          <w:rFonts w:ascii="Arial" w:hAnsi="Arial" w:cs="Arial"/>
          <w:b/>
          <w:sz w:val="20"/>
          <w:szCs w:val="20"/>
          <w:lang w:val="en-US"/>
        </w:rPr>
        <w:t xml:space="preserve">Oligonucleotides used for relative quantitative real-time PCR analysis </w:t>
      </w:r>
    </w:p>
    <w:tbl>
      <w:tblPr>
        <w:tblStyle w:val="Tabellenraster"/>
        <w:tblW w:w="9299" w:type="dxa"/>
        <w:tblLook w:val="04A0" w:firstRow="1" w:lastRow="0" w:firstColumn="1" w:lastColumn="0" w:noHBand="0" w:noVBand="1"/>
      </w:tblPr>
      <w:tblGrid>
        <w:gridCol w:w="5098"/>
        <w:gridCol w:w="1276"/>
        <w:gridCol w:w="2925"/>
      </w:tblGrid>
      <w:tr w:rsidR="002661E9" w:rsidRPr="000C0642" w:rsidTr="005971F0">
        <w:trPr>
          <w:trHeight w:val="423"/>
        </w:trPr>
        <w:tc>
          <w:tcPr>
            <w:tcW w:w="9299" w:type="dxa"/>
            <w:gridSpan w:val="3"/>
            <w:shd w:val="clear" w:color="auto" w:fill="D9D9D9" w:themeFill="background1" w:themeFillShade="D9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Human 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shd w:val="clear" w:color="auto" w:fill="D9D9D9" w:themeFill="background1" w:themeFillShade="D9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Product name (gene name)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Annealing temperature</w:t>
            </w:r>
          </w:p>
        </w:tc>
        <w:tc>
          <w:tcPr>
            <w:tcW w:w="2925" w:type="dxa"/>
            <w:shd w:val="clear" w:color="auto" w:fill="D9D9D9" w:themeFill="background1" w:themeFillShade="D9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5′–3′ sequence: Forward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              </w:t>
            </w:r>
            <w:r w:rsidR="00621A00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            Reverse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Ribosomal protein L13 (</w:t>
            </w:r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RPL13A</w:t>
            </w: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63°C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CGGAAGGTGGTGGTCGTA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CTCGGGAAGGGTTGGTGT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Hydroxymethylbilane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 synthase (HMBS)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63°C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CTGCCAGAGAAGAGTGTG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AGCTGTTGCCAGGATGAT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Succinate dehydrogenase complex, subunit A, </w:t>
            </w:r>
            <w:proofErr w:type="spellStart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flavoprotein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SDHA</w:t>
            </w: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63°C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AACTCGCTCTTGGACCTG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GAGTCGCAGTTCCGATGT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Interleukin-1β (</w:t>
            </w:r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IL-1B</w:t>
            </w: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63°C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ACAGATGAAGTGCTCCTTCCA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GTCGGAGATTCGTAGCTGGAT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Interleukin-6 (</w:t>
            </w:r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IL6</w:t>
            </w: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63°C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ACAGCCACTCACCTCTTCAG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GTGCCTCTTTGCTGCTTTCAC</w:t>
            </w:r>
          </w:p>
        </w:tc>
      </w:tr>
      <w:tr w:rsidR="002661E9" w:rsidRPr="000C0642" w:rsidTr="005971F0">
        <w:trPr>
          <w:trHeight w:val="424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Interleukin-8 (</w:t>
            </w:r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IL8</w:t>
            </w: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63°C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GAACTGAGAGTGATTGAGAGTGGA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CTCTTCAAAAACTTCTCCACAACC</w:t>
            </w:r>
          </w:p>
        </w:tc>
      </w:tr>
      <w:tr w:rsidR="002661E9" w:rsidRPr="000C0642" w:rsidTr="005971F0">
        <w:trPr>
          <w:trHeight w:val="423"/>
        </w:trPr>
        <w:tc>
          <w:tcPr>
            <w:tcW w:w="9299" w:type="dxa"/>
            <w:gridSpan w:val="3"/>
            <w:shd w:val="clear" w:color="auto" w:fill="D9D9D9" w:themeFill="background1" w:themeFillShade="D9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S. gallolyticus</w:t>
            </w: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 subsp. </w:t>
            </w:r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gallolyticus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shd w:val="clear" w:color="auto" w:fill="D9D9D9" w:themeFill="background1" w:themeFillShade="D9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Product name (gene name)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Annealing temperature</w:t>
            </w:r>
          </w:p>
        </w:tc>
        <w:tc>
          <w:tcPr>
            <w:tcW w:w="2925" w:type="dxa"/>
            <w:shd w:val="clear" w:color="auto" w:fill="D9D9D9" w:themeFill="background1" w:themeFillShade="D9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5′–3′ sequence: Forward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        </w:t>
            </w:r>
            <w:r w:rsidR="00621A00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                  Reverse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16S ribosomal RNA (</w:t>
            </w:r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16S</w:t>
            </w: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TTATGACCTGGGCTACAC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CCTACAATCCGAACTGAG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23S ribosomal RNA (</w:t>
            </w:r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23S</w:t>
            </w: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CTKCCAAGAAAAGCYTCT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CATTTTGCCDAGTTCCTT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Autolysin (</w:t>
            </w:r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SGGBAA_c13580</w:t>
            </w: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ATCGTCCTGCCCTTTATC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CGGTTTCAGTTGCCAATC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carbonic anhydrase (</w:t>
            </w:r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SGGBAA-c20810</w:t>
            </w: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TCAGCTTGAGGCAGAGCTAC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GCGGACGGCAAACAGATT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D-</w:t>
            </w:r>
            <w:proofErr w:type="spellStart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alanyl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-D-alanine carrier protein ligase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dltA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GACGGCATCATGTAATCC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TATCACACGGGTGACTTAGG</w:t>
            </w:r>
          </w:p>
        </w:tc>
      </w:tr>
      <w:tr w:rsidR="002661E9" w:rsidRPr="000C0642" w:rsidTr="005971F0">
        <w:trPr>
          <w:trHeight w:val="424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D-alanine transfer from </w:t>
            </w:r>
            <w:proofErr w:type="spellStart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Dcp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 to </w:t>
            </w:r>
            <w:proofErr w:type="spellStart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undecaprenol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-phosphate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dltB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AGCTGTGGCAATAGCAAGCTAC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ACGGCGTGCTGAGTGAATTTA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D-alanine carrier protein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dltC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AGCATGGCAAAGTTCCTC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ACGGTGGAACTCATTGTG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D-alanine transfer from </w:t>
            </w:r>
            <w:proofErr w:type="spellStart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undecaprenol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-phosphate to the poly(</w:t>
            </w:r>
            <w:proofErr w:type="spellStart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glycerophosphate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 chain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dltD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CCACCGAGTTTGCTGTAAG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GTGTTTATGACCGCTACGC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glycogen synthase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glgA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AAGTAGGATGGCGTCATCAG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ACGGAATCATGGCAGTATGG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1,4-alpha-glucan branching enzyme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glgB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CAGGACGATTACGGAAAC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GTTTGCGTGAAGTGCTTG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glucose-1-phosphate </w:t>
            </w:r>
            <w:proofErr w:type="spellStart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adenylyltransferase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glgC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GTTTGCGTGAAGTGCTTG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TTTGGTGGTGCGATAAGG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glucose-1-phosphate </w:t>
            </w:r>
            <w:proofErr w:type="spellStart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adenylyltransferase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glgD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GACGGAACAGGCAAAGAAG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CCAGAGCGTTTCAGGTAAG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glycogen phosphorylase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glgP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CTGCCGAGTTTATGCGTCTGC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TTCTCCAGCCACTGCCAATCC</w:t>
            </w:r>
          </w:p>
        </w:tc>
      </w:tr>
      <w:tr w:rsidR="002661E9" w:rsidRPr="000C0642" w:rsidTr="005971F0">
        <w:trPr>
          <w:trHeight w:val="424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nucleoside diphosphate kinase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ndk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CAAACCAGAGGGCGATTTC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GAGGTGCTTCACCGTATTG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acyl-acyl carrier protein (ACP):phosphate acyltransferase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plsX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GCTATGGGTGGCGACAATG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AGCCCTGGACGGTCAATAC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post-translocation molecular chaperone (</w:t>
            </w:r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prsA1</w:t>
            </w: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TATCGGTGCTGGTGTAAC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GTGCGCTTGAGAATGATG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2,3,4,5-tetrahydropyridine-2,6-dicarboxylate N-</w:t>
            </w:r>
            <w:proofErr w:type="spellStart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succinyltransferase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dapD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TTACGCAAAGCGTCTTCGAGTG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TTGACATGGGTGCTGTTCTTGG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proofErr w:type="spellStart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Phosphopentomutase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 xml:space="preserve">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drm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AAATCGCAGCACACGAAG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CATTACGACGGTGACCATAC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lastRenderedPageBreak/>
              <w:t>bifunctional N-acetylglucosamine-1-phosphate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gcaD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TGAATCTGGGCGAACATGG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ACTTGCGACAGCAGAAGAC</w:t>
            </w:r>
          </w:p>
        </w:tc>
      </w:tr>
      <w:tr w:rsidR="002661E9" w:rsidRPr="000C0642" w:rsidTr="005971F0">
        <w:trPr>
          <w:trHeight w:val="423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PTS system N-</w:t>
            </w:r>
            <w:proofErr w:type="spellStart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acetylgalactosamine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-specific transporter subunit IIA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levA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TTGGTGGTAGCCCACTTACAAC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TGAAGAGCTGCTTGAGCTTCTG</w:t>
            </w:r>
          </w:p>
        </w:tc>
      </w:tr>
      <w:tr w:rsidR="002661E9" w:rsidRPr="000C0642" w:rsidTr="005971F0">
        <w:trPr>
          <w:trHeight w:val="424"/>
        </w:trPr>
        <w:tc>
          <w:tcPr>
            <w:tcW w:w="5098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NADH oxidase (</w:t>
            </w:r>
            <w:proofErr w:type="spellStart"/>
            <w:r w:rsidRPr="000C0642">
              <w:rPr>
                <w:rFonts w:ascii="Arial" w:hAnsi="Arial" w:cs="Arial"/>
                <w:i/>
                <w:sz w:val="16"/>
                <w:szCs w:val="16"/>
                <w:lang w:val="en-US"/>
              </w:rPr>
              <w:t>nox</w:t>
            </w:r>
            <w:proofErr w:type="spellEnd"/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vAlign w:val="center"/>
          </w:tcPr>
          <w:p w:rsidR="002661E9" w:rsidRPr="000C0642" w:rsidRDefault="002661E9" w:rsidP="005971F0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65°C</w:t>
            </w:r>
          </w:p>
        </w:tc>
        <w:tc>
          <w:tcPr>
            <w:tcW w:w="2925" w:type="dxa"/>
            <w:vAlign w:val="center"/>
          </w:tcPr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CCTTAATTGGCGGGATGATTGG</w:t>
            </w:r>
          </w:p>
          <w:p w:rsidR="002661E9" w:rsidRPr="000C0642" w:rsidRDefault="002661E9" w:rsidP="005971F0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0C0642">
              <w:rPr>
                <w:rFonts w:ascii="Arial" w:hAnsi="Arial" w:cs="Arial"/>
                <w:sz w:val="16"/>
                <w:szCs w:val="16"/>
                <w:lang w:val="en-US"/>
              </w:rPr>
              <w:t>CGGTTGTGGTATGGCATTATGG</w:t>
            </w:r>
          </w:p>
        </w:tc>
      </w:tr>
    </w:tbl>
    <w:p w:rsidR="002661E9" w:rsidRPr="000C0642" w:rsidRDefault="002661E9" w:rsidP="002661E9"/>
    <w:p w:rsidR="002661E9" w:rsidRPr="000C0642" w:rsidRDefault="002661E9" w:rsidP="002661E9">
      <w:pPr>
        <w:spacing w:after="0" w:line="480" w:lineRule="auto"/>
        <w:jc w:val="both"/>
        <w:rPr>
          <w:rFonts w:ascii="Arial" w:hAnsi="Arial" w:cs="Arial"/>
          <w:lang w:val="en-US"/>
        </w:rPr>
      </w:pPr>
    </w:p>
    <w:p w:rsidR="002661E9" w:rsidRPr="000C0642" w:rsidRDefault="002661E9" w:rsidP="003D4509">
      <w:pPr>
        <w:spacing w:after="0" w:line="480" w:lineRule="auto"/>
        <w:jc w:val="both"/>
        <w:rPr>
          <w:rFonts w:ascii="Arial" w:hAnsi="Arial" w:cs="Arial"/>
          <w:b/>
          <w:lang w:val="en-US"/>
        </w:rPr>
      </w:pPr>
      <w:r w:rsidRPr="000C0642">
        <w:rPr>
          <w:rFonts w:ascii="Arial" w:hAnsi="Arial" w:cs="Arial"/>
          <w:b/>
          <w:sz w:val="20"/>
          <w:szCs w:val="20"/>
          <w:lang w:val="en-US"/>
        </w:rPr>
        <w:t xml:space="preserve">Table </w:t>
      </w:r>
      <w:r w:rsidR="0064083D">
        <w:rPr>
          <w:rFonts w:ascii="Arial" w:hAnsi="Arial" w:cs="Arial"/>
          <w:b/>
          <w:sz w:val="20"/>
          <w:szCs w:val="20"/>
          <w:lang w:val="en-US"/>
        </w:rPr>
        <w:t>B</w:t>
      </w:r>
      <w:r w:rsidRPr="000C0642">
        <w:rPr>
          <w:rFonts w:ascii="Arial" w:hAnsi="Arial" w:cs="Arial"/>
          <w:b/>
          <w:sz w:val="20"/>
          <w:szCs w:val="20"/>
          <w:lang w:val="en-US"/>
        </w:rPr>
        <w:t>:</w:t>
      </w:r>
      <w:r w:rsidRPr="000C0642">
        <w:rPr>
          <w:rFonts w:ascii="Arial" w:hAnsi="Arial" w:cs="Arial"/>
          <w:sz w:val="20"/>
          <w:szCs w:val="20"/>
          <w:lang w:val="en-US"/>
        </w:rPr>
        <w:t xml:space="preserve"> </w:t>
      </w:r>
      <w:r w:rsidRPr="000C0642">
        <w:rPr>
          <w:rFonts w:ascii="Arial" w:hAnsi="Arial" w:cs="Arial"/>
          <w:b/>
          <w:sz w:val="20"/>
          <w:szCs w:val="20"/>
          <w:lang w:val="en-US"/>
        </w:rPr>
        <w:t>Statistical results between strains in their su</w:t>
      </w:r>
      <w:r w:rsidR="003D4509" w:rsidRPr="000C0642">
        <w:rPr>
          <w:rFonts w:ascii="Arial" w:hAnsi="Arial" w:cs="Arial"/>
          <w:b/>
          <w:sz w:val="20"/>
          <w:szCs w:val="20"/>
          <w:lang w:val="en-US"/>
        </w:rPr>
        <w:t xml:space="preserve">rvival at different time points (Figure 1). </w:t>
      </w:r>
      <w:r w:rsidR="003D4509" w:rsidRPr="000C0642">
        <w:rPr>
          <w:rFonts w:ascii="Arial" w:hAnsi="Arial" w:cs="Arial"/>
          <w:sz w:val="20"/>
          <w:szCs w:val="20"/>
          <w:lang w:val="en-US"/>
        </w:rPr>
        <w:t>Statistical significances were calculated with the Mann-Whitney U test: *: p &lt; 0.05; **: p &lt; 0.005; ***:</w:t>
      </w:r>
      <w:r w:rsidR="006D066E" w:rsidRPr="000C0642">
        <w:rPr>
          <w:rFonts w:ascii="Arial" w:hAnsi="Arial" w:cs="Arial"/>
          <w:sz w:val="20"/>
          <w:szCs w:val="20"/>
          <w:lang w:val="en-US"/>
        </w:rPr>
        <w:t> </w:t>
      </w:r>
      <w:r w:rsidR="003D4509" w:rsidRPr="000C0642">
        <w:rPr>
          <w:rFonts w:ascii="Arial" w:hAnsi="Arial" w:cs="Arial"/>
          <w:sz w:val="20"/>
          <w:szCs w:val="20"/>
          <w:lang w:val="en-US"/>
        </w:rPr>
        <w:t>p &lt; 0.0005; ****: p &lt; 0.0001; ns = not significant; - = same sample</w:t>
      </w:r>
      <w:r w:rsidR="00B34C86" w:rsidRPr="000C0642">
        <w:rPr>
          <w:rFonts w:ascii="Arial" w:hAnsi="Arial" w:cs="Arial"/>
          <w:sz w:val="20"/>
          <w:szCs w:val="20"/>
          <w:lang w:val="en-US"/>
        </w:rPr>
        <w:t xml:space="preserve">; </w:t>
      </w:r>
      <w:proofErr w:type="spellStart"/>
      <w:r w:rsidR="00B34C86" w:rsidRPr="000C0642">
        <w:rPr>
          <w:rFonts w:ascii="Arial" w:hAnsi="Arial" w:cs="Arial"/>
          <w:sz w:val="20"/>
          <w:szCs w:val="20"/>
          <w:lang w:val="en-US"/>
        </w:rPr>
        <w:t>tp</w:t>
      </w:r>
      <w:proofErr w:type="spellEnd"/>
      <w:r w:rsidR="00B34C86" w:rsidRPr="000C0642">
        <w:rPr>
          <w:rFonts w:ascii="Arial" w:hAnsi="Arial" w:cs="Arial"/>
          <w:sz w:val="20"/>
          <w:szCs w:val="20"/>
          <w:lang w:val="en-US"/>
        </w:rPr>
        <w:t> = time point</w:t>
      </w:r>
      <w:r w:rsidR="003D4509" w:rsidRPr="000C0642">
        <w:rPr>
          <w:rFonts w:ascii="Arial" w:hAnsi="Arial" w:cs="Arial"/>
          <w:sz w:val="20"/>
          <w:szCs w:val="20"/>
          <w:lang w:val="en-US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12"/>
        <w:gridCol w:w="732"/>
        <w:gridCol w:w="1207"/>
        <w:gridCol w:w="1207"/>
        <w:gridCol w:w="1208"/>
        <w:gridCol w:w="1207"/>
        <w:gridCol w:w="1207"/>
        <w:gridCol w:w="1208"/>
      </w:tblGrid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32" w:type="dxa"/>
            <w:shd w:val="clear" w:color="auto" w:fill="E7E6E6" w:themeFill="background2"/>
            <w:vAlign w:val="center"/>
          </w:tcPr>
          <w:p w:rsidR="002661E9" w:rsidRPr="000C0642" w:rsidRDefault="00B34C86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tp</w:t>
            </w:r>
            <w:proofErr w:type="spellEnd"/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 xml:space="preserve"> (h)</w:t>
            </w:r>
          </w:p>
        </w:tc>
        <w:tc>
          <w:tcPr>
            <w:tcW w:w="1207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DSM16831</w:t>
            </w:r>
          </w:p>
        </w:tc>
        <w:tc>
          <w:tcPr>
            <w:tcW w:w="1207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BAA-2069</w:t>
            </w:r>
          </w:p>
        </w:tc>
        <w:tc>
          <w:tcPr>
            <w:tcW w:w="1208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LMG17956</w:t>
            </w:r>
          </w:p>
        </w:tc>
        <w:tc>
          <w:tcPr>
            <w:tcW w:w="1207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UCN34</w:t>
            </w:r>
          </w:p>
        </w:tc>
        <w:tc>
          <w:tcPr>
            <w:tcW w:w="1207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ATCC43143</w:t>
            </w:r>
          </w:p>
        </w:tc>
        <w:tc>
          <w:tcPr>
            <w:tcW w:w="1208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SA</w:t>
            </w:r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DSM16831</w:t>
            </w: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2.5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****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ns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ns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*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***</w:t>
            </w:r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5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***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**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***</w:t>
            </w:r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8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-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****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****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0C0642">
              <w:rPr>
                <w:rFonts w:ascii="Arial" w:hAnsi="Arial" w:cs="Arial"/>
                <w:sz w:val="18"/>
                <w:szCs w:val="18"/>
                <w:lang w:val="en-US"/>
              </w:rPr>
              <w:t>****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****</w:t>
            </w:r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BAA-2069</w:t>
            </w: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2.5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LMG17956</w:t>
            </w: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2.5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</w:t>
            </w:r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</w:t>
            </w:r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****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****</w:t>
            </w:r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UCN 34</w:t>
            </w: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2.5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</w:t>
            </w:r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</w:t>
            </w:r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</w:t>
            </w:r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ATCC43143</w:t>
            </w: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2.5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</w:t>
            </w:r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</w:t>
            </w:r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</w:t>
            </w:r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SA</w:t>
            </w: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2.5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2661E9" w:rsidRPr="000C0642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2661E9" w:rsidRPr="006801F9" w:rsidTr="00B34C86">
        <w:tc>
          <w:tcPr>
            <w:tcW w:w="1312" w:type="dxa"/>
            <w:shd w:val="clear" w:color="auto" w:fill="E7E6E6" w:themeFill="background2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2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0C0642">
              <w:rPr>
                <w:rFonts w:ascii="Arial" w:hAnsi="Arial" w:cs="Arial"/>
                <w:sz w:val="18"/>
                <w:szCs w:val="18"/>
              </w:rPr>
              <w:t>ns</w:t>
            </w:r>
            <w:proofErr w:type="spellEnd"/>
          </w:p>
        </w:tc>
        <w:tc>
          <w:tcPr>
            <w:tcW w:w="1208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1207" w:type="dxa"/>
            <w:vAlign w:val="center"/>
          </w:tcPr>
          <w:p w:rsidR="002661E9" w:rsidRPr="000C0642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**</w:t>
            </w:r>
          </w:p>
        </w:tc>
        <w:tc>
          <w:tcPr>
            <w:tcW w:w="1208" w:type="dxa"/>
            <w:vAlign w:val="center"/>
          </w:tcPr>
          <w:p w:rsidR="002661E9" w:rsidRPr="006801F9" w:rsidRDefault="002661E9" w:rsidP="00B34C86">
            <w:pPr>
              <w:spacing w:before="60" w:afterLines="60" w:after="1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C0642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</w:tbl>
    <w:p w:rsidR="002661E9" w:rsidRPr="002661E9" w:rsidRDefault="002661E9">
      <w:pPr>
        <w:rPr>
          <w:rFonts w:ascii="Arial" w:hAnsi="Arial" w:cs="Arial"/>
          <w:lang w:val="en-US"/>
        </w:rPr>
      </w:pPr>
    </w:p>
    <w:sectPr w:rsidR="002661E9" w:rsidRPr="002661E9" w:rsidSect="003770CD">
      <w:pgSz w:w="12240" w:h="15840"/>
      <w:pgMar w:top="1417" w:right="1417" w:bottom="1134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963A79"/>
    <w:multiLevelType w:val="hybridMultilevel"/>
    <w:tmpl w:val="DE8E92C8"/>
    <w:lvl w:ilvl="0" w:tplc="FFF4FF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mke Grimm">
    <w15:presenceInfo w15:providerId="Windows Live" w15:userId="666dcd2b6a86fe1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9A0"/>
    <w:rsid w:val="000559BE"/>
    <w:rsid w:val="000A39A0"/>
    <w:rsid w:val="000C0642"/>
    <w:rsid w:val="000D1618"/>
    <w:rsid w:val="000D7437"/>
    <w:rsid w:val="001E5DB0"/>
    <w:rsid w:val="002661E9"/>
    <w:rsid w:val="00274019"/>
    <w:rsid w:val="003147F9"/>
    <w:rsid w:val="003533F4"/>
    <w:rsid w:val="003770CD"/>
    <w:rsid w:val="003C1D9E"/>
    <w:rsid w:val="003C2825"/>
    <w:rsid w:val="003C4AC5"/>
    <w:rsid w:val="003D4509"/>
    <w:rsid w:val="003D717E"/>
    <w:rsid w:val="003F4014"/>
    <w:rsid w:val="00414539"/>
    <w:rsid w:val="00490F2A"/>
    <w:rsid w:val="00512B68"/>
    <w:rsid w:val="00621726"/>
    <w:rsid w:val="00621A00"/>
    <w:rsid w:val="00627516"/>
    <w:rsid w:val="0064083D"/>
    <w:rsid w:val="00661616"/>
    <w:rsid w:val="00682408"/>
    <w:rsid w:val="006D066E"/>
    <w:rsid w:val="00702A9F"/>
    <w:rsid w:val="00706FA7"/>
    <w:rsid w:val="00710075"/>
    <w:rsid w:val="00797827"/>
    <w:rsid w:val="007F131A"/>
    <w:rsid w:val="008148C8"/>
    <w:rsid w:val="008A7242"/>
    <w:rsid w:val="00962DE1"/>
    <w:rsid w:val="009A5334"/>
    <w:rsid w:val="009B2ED7"/>
    <w:rsid w:val="00A03533"/>
    <w:rsid w:val="00A57B9B"/>
    <w:rsid w:val="00AF6352"/>
    <w:rsid w:val="00B07470"/>
    <w:rsid w:val="00B248D8"/>
    <w:rsid w:val="00B34C86"/>
    <w:rsid w:val="00BA0328"/>
    <w:rsid w:val="00BC591E"/>
    <w:rsid w:val="00C40312"/>
    <w:rsid w:val="00C5341A"/>
    <w:rsid w:val="00CA4A98"/>
    <w:rsid w:val="00CB2E35"/>
    <w:rsid w:val="00CF29F1"/>
    <w:rsid w:val="00D62B7C"/>
    <w:rsid w:val="00D648FB"/>
    <w:rsid w:val="00DC5E68"/>
    <w:rsid w:val="00DE14F9"/>
    <w:rsid w:val="00EB7706"/>
    <w:rsid w:val="00F01210"/>
    <w:rsid w:val="00F04EB7"/>
    <w:rsid w:val="00F94846"/>
    <w:rsid w:val="00FA3365"/>
    <w:rsid w:val="00FB3DC5"/>
    <w:rsid w:val="00FC5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9A0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7B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57B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57B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0A39A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DB0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2661E9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A4A98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57B9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57B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7B9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e-DE"/>
    </w:rPr>
  </w:style>
  <w:style w:type="paragraph" w:styleId="Liste">
    <w:name w:val="List"/>
    <w:basedOn w:val="Standard"/>
    <w:uiPriority w:val="99"/>
    <w:unhideWhenUsed/>
    <w:rsid w:val="00A57B9B"/>
    <w:pPr>
      <w:ind w:left="283" w:hanging="283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57B9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57B9B"/>
    <w:rPr>
      <w:lang w:val="de-DE"/>
    </w:rPr>
  </w:style>
  <w:style w:type="character" w:styleId="Zeilennummer">
    <w:name w:val="line number"/>
    <w:basedOn w:val="Absatz-Standardschriftart"/>
    <w:uiPriority w:val="99"/>
    <w:semiHidden/>
    <w:unhideWhenUsed/>
    <w:rsid w:val="003770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A39A0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7B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57B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57B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ett">
    <w:name w:val="Strong"/>
    <w:basedOn w:val="Absatz-Standardschriftart"/>
    <w:uiPriority w:val="22"/>
    <w:qFormat/>
    <w:rsid w:val="000A39A0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5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5DB0"/>
    <w:rPr>
      <w:rFonts w:ascii="Tahoma" w:hAnsi="Tahoma" w:cs="Tahoma"/>
      <w:sz w:val="16"/>
      <w:szCs w:val="16"/>
      <w:lang w:val="de-DE"/>
    </w:rPr>
  </w:style>
  <w:style w:type="table" w:styleId="Tabellenraster">
    <w:name w:val="Table Grid"/>
    <w:basedOn w:val="NormaleTabelle"/>
    <w:uiPriority w:val="39"/>
    <w:rsid w:val="002661E9"/>
    <w:pPr>
      <w:spacing w:after="0" w:line="240" w:lineRule="auto"/>
    </w:pPr>
    <w:rPr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A4A98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A57B9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57B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7B9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de-DE"/>
    </w:rPr>
  </w:style>
  <w:style w:type="paragraph" w:styleId="Liste">
    <w:name w:val="List"/>
    <w:basedOn w:val="Standard"/>
    <w:uiPriority w:val="99"/>
    <w:unhideWhenUsed/>
    <w:rsid w:val="00A57B9B"/>
    <w:pPr>
      <w:ind w:left="283" w:hanging="283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57B9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57B9B"/>
    <w:rPr>
      <w:lang w:val="de-DE"/>
    </w:rPr>
  </w:style>
  <w:style w:type="character" w:styleId="Zeilennummer">
    <w:name w:val="line number"/>
    <w:basedOn w:val="Absatz-Standardschriftart"/>
    <w:uiPriority w:val="99"/>
    <w:semiHidden/>
    <w:unhideWhenUsed/>
    <w:rsid w:val="00377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425AE-170A-499F-A6A0-3E9455B77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900</Words>
  <Characters>5673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Herz- und Diabeteszentrum NRW</Company>
  <LinksUpToDate>false</LinksUpToDate>
  <CharactersWithSpaces>6560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Imke Grimm</dc:creator>
  <cp:lastModifiedBy>Grimm, Imke</cp:lastModifiedBy>
  <cp:revision>7</cp:revision>
  <dcterms:created xsi:type="dcterms:W3CDTF">2017-06-14T08:57:00Z</dcterms:created>
  <dcterms:modified xsi:type="dcterms:W3CDTF">2017-06-16T07:16:00Z</dcterms:modified>
</cp:coreProperties>
</file>