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D6" w:rsidRPr="009312D6" w:rsidRDefault="009312D6" w:rsidP="009312D6">
      <w:pPr>
        <w:pStyle w:val="berschrift3"/>
        <w:rPr>
          <w:color w:val="auto"/>
          <w:lang w:val="en-US"/>
        </w:rPr>
      </w:pPr>
      <w:bookmarkStart w:id="0" w:name="_GoBack"/>
      <w:r w:rsidRPr="009312D6">
        <w:rPr>
          <w:color w:val="auto"/>
          <w:lang w:val="en-US"/>
        </w:rPr>
        <w:t xml:space="preserve">Detailed description of the applied </w:t>
      </w:r>
      <w:r w:rsidRPr="009312D6">
        <w:rPr>
          <w:color w:val="auto"/>
          <w:lang w:val="en-US"/>
        </w:rPr>
        <w:t>statistical calculation</w:t>
      </w:r>
      <w:r w:rsidRPr="009312D6">
        <w:rPr>
          <w:color w:val="auto"/>
          <w:lang w:val="en-US"/>
        </w:rPr>
        <w:t>s</w:t>
      </w:r>
      <w:r w:rsidRPr="009312D6">
        <w:rPr>
          <w:color w:val="auto"/>
          <w:lang w:val="en-US"/>
        </w:rPr>
        <w:t xml:space="preserve"> for </w:t>
      </w:r>
      <w:r w:rsidRPr="009312D6">
        <w:rPr>
          <w:color w:val="auto"/>
          <w:lang w:val="en-US"/>
        </w:rPr>
        <w:t xml:space="preserve">the analysis of </w:t>
      </w:r>
      <w:r w:rsidRPr="009312D6">
        <w:rPr>
          <w:color w:val="auto"/>
          <w:lang w:val="en-US"/>
        </w:rPr>
        <w:t>amplitude curves</w:t>
      </w:r>
    </w:p>
    <w:bookmarkEnd w:id="0"/>
    <w:p w:rsidR="009312D6" w:rsidRPr="003D2881" w:rsidRDefault="009312D6" w:rsidP="009312D6">
      <w:pPr>
        <w:spacing w:line="480" w:lineRule="auto"/>
        <w:ind w:firstLine="567"/>
        <w:jc w:val="both"/>
        <w:rPr>
          <w:color w:val="auto"/>
          <w:lang w:val="en-US"/>
        </w:rPr>
      </w:pPr>
      <w:r w:rsidRPr="003D2881">
        <w:rPr>
          <w:color w:val="auto"/>
          <w:lang w:val="en-US"/>
        </w:rPr>
        <w:t>T</w:t>
      </w:r>
      <w:r w:rsidRPr="003D2881">
        <w:rPr>
          <w:color w:val="auto"/>
          <w:lang w:val="en-US"/>
        </w:rPr>
        <w:t>he k = 201 single time points of the time-normalized SEMG data had to be individually compared among the respective groups. Let x = (x</w:t>
      </w:r>
      <w:r w:rsidRPr="003D2881">
        <w:rPr>
          <w:color w:val="auto"/>
          <w:vertAlign w:val="subscript"/>
          <w:lang w:val="en-US"/>
        </w:rPr>
        <w:t>k1</w:t>
      </w:r>
      <w:proofErr w:type="gramStart"/>
      <w:r w:rsidRPr="003D2881">
        <w:rPr>
          <w:color w:val="auto"/>
          <w:lang w:val="en-US"/>
        </w:rPr>
        <w:t>, …,</w:t>
      </w:r>
      <w:proofErr w:type="gramEnd"/>
      <w:r w:rsidRPr="003D2881">
        <w:rPr>
          <w:color w:val="auto"/>
          <w:lang w:val="en-US"/>
        </w:rPr>
        <w:t xml:space="preserve"> x</w:t>
      </w:r>
      <w:r w:rsidRPr="003D2881">
        <w:rPr>
          <w:color w:val="auto"/>
          <w:vertAlign w:val="subscript"/>
          <w:lang w:val="en-US"/>
        </w:rPr>
        <w:t>k201</w:t>
      </w:r>
      <w:r w:rsidRPr="003D2881">
        <w:rPr>
          <w:color w:val="auto"/>
          <w:lang w:val="en-US"/>
        </w:rPr>
        <w:t>) and y = (y</w:t>
      </w:r>
      <w:r w:rsidRPr="003D2881">
        <w:rPr>
          <w:color w:val="auto"/>
          <w:vertAlign w:val="subscript"/>
          <w:lang w:val="en-US"/>
        </w:rPr>
        <w:t>k1</w:t>
      </w:r>
      <w:r w:rsidRPr="003D2881">
        <w:rPr>
          <w:color w:val="auto"/>
          <w:lang w:val="en-US"/>
        </w:rPr>
        <w:t>, …, y</w:t>
      </w:r>
      <w:r w:rsidRPr="003D2881">
        <w:rPr>
          <w:color w:val="auto"/>
          <w:vertAlign w:val="subscript"/>
          <w:lang w:val="en-US"/>
        </w:rPr>
        <w:t>k201</w:t>
      </w:r>
      <w:r w:rsidRPr="003D2881">
        <w:rPr>
          <w:color w:val="auto"/>
          <w:lang w:val="en-US"/>
        </w:rPr>
        <w:t>) denote the two vectors (groups) to be compared and (µ</w:t>
      </w:r>
      <w:r w:rsidRPr="003D2881">
        <w:rPr>
          <w:color w:val="auto"/>
          <w:vertAlign w:val="subscript"/>
          <w:lang w:val="en-US"/>
        </w:rPr>
        <w:t>xk1</w:t>
      </w:r>
      <w:r w:rsidRPr="003D2881">
        <w:rPr>
          <w:color w:val="auto"/>
          <w:lang w:val="en-US"/>
        </w:rPr>
        <w:t>, …, µ</w:t>
      </w:r>
      <w:r w:rsidRPr="003D2881">
        <w:rPr>
          <w:color w:val="auto"/>
          <w:vertAlign w:val="subscript"/>
          <w:lang w:val="en-US"/>
        </w:rPr>
        <w:t>xk201</w:t>
      </w:r>
      <w:r w:rsidRPr="003D2881">
        <w:rPr>
          <w:color w:val="auto"/>
          <w:lang w:val="en-US"/>
        </w:rPr>
        <w:t>) and (µ</w:t>
      </w:r>
      <w:r w:rsidRPr="003D2881">
        <w:rPr>
          <w:color w:val="auto"/>
          <w:vertAlign w:val="subscript"/>
          <w:lang w:val="en-US"/>
        </w:rPr>
        <w:t>yk1</w:t>
      </w:r>
      <w:r w:rsidRPr="003D2881">
        <w:rPr>
          <w:color w:val="auto"/>
          <w:lang w:val="en-US"/>
        </w:rPr>
        <w:t>, …, µ</w:t>
      </w:r>
      <w:r w:rsidRPr="003D2881">
        <w:rPr>
          <w:color w:val="auto"/>
          <w:vertAlign w:val="subscript"/>
          <w:lang w:val="en-US"/>
        </w:rPr>
        <w:t>yk201</w:t>
      </w:r>
      <w:r w:rsidRPr="003D2881">
        <w:rPr>
          <w:color w:val="auto"/>
          <w:lang w:val="en-US"/>
        </w:rPr>
        <w:t>) be the respective means. The calculated p values for the rejection of the null hypotheses H</w:t>
      </w:r>
      <w:r w:rsidRPr="003D2881">
        <w:rPr>
          <w:color w:val="auto"/>
          <w:vertAlign w:val="subscript"/>
          <w:lang w:val="en-US"/>
        </w:rPr>
        <w:t>k1</w:t>
      </w:r>
      <w:r w:rsidRPr="003D2881">
        <w:rPr>
          <w:color w:val="auto"/>
          <w:lang w:val="en-US"/>
        </w:rPr>
        <w:t>: µ</w:t>
      </w:r>
      <w:r w:rsidRPr="003D2881">
        <w:rPr>
          <w:color w:val="auto"/>
          <w:vertAlign w:val="subscript"/>
          <w:lang w:val="en-US"/>
        </w:rPr>
        <w:t>xk1</w:t>
      </w:r>
      <w:r w:rsidRPr="003D2881">
        <w:rPr>
          <w:color w:val="auto"/>
          <w:lang w:val="en-US"/>
        </w:rPr>
        <w:t> = µ</w:t>
      </w:r>
      <w:r w:rsidRPr="003D2881">
        <w:rPr>
          <w:color w:val="auto"/>
          <w:vertAlign w:val="subscript"/>
          <w:lang w:val="en-US"/>
        </w:rPr>
        <w:t>yk1</w:t>
      </w:r>
      <w:proofErr w:type="gramStart"/>
      <w:r w:rsidRPr="003D2881">
        <w:rPr>
          <w:color w:val="auto"/>
          <w:lang w:val="en-US"/>
        </w:rPr>
        <w:t>, …,</w:t>
      </w:r>
      <w:proofErr w:type="gramEnd"/>
      <w:r w:rsidRPr="003D2881">
        <w:rPr>
          <w:color w:val="auto"/>
          <w:lang w:val="en-US"/>
        </w:rPr>
        <w:t> H</w:t>
      </w:r>
      <w:r w:rsidRPr="003D2881">
        <w:rPr>
          <w:color w:val="auto"/>
          <w:vertAlign w:val="subscript"/>
          <w:lang w:val="en-US"/>
        </w:rPr>
        <w:t>k201</w:t>
      </w:r>
      <w:r w:rsidRPr="003D2881">
        <w:rPr>
          <w:color w:val="auto"/>
          <w:lang w:val="en-US"/>
        </w:rPr>
        <w:t>: µ</w:t>
      </w:r>
      <w:r w:rsidRPr="003D2881">
        <w:rPr>
          <w:color w:val="auto"/>
          <w:vertAlign w:val="subscript"/>
          <w:lang w:val="en-US"/>
        </w:rPr>
        <w:t>xk201</w:t>
      </w:r>
      <w:r w:rsidRPr="003D2881">
        <w:rPr>
          <w:color w:val="auto"/>
          <w:lang w:val="en-US"/>
        </w:rPr>
        <w:t> = µ</w:t>
      </w:r>
      <w:r w:rsidRPr="003D2881">
        <w:rPr>
          <w:color w:val="auto"/>
          <w:vertAlign w:val="subscript"/>
          <w:lang w:val="en-US"/>
        </w:rPr>
        <w:t>yk201</w:t>
      </w:r>
      <w:r w:rsidRPr="003D2881">
        <w:rPr>
          <w:color w:val="auto"/>
          <w:lang w:val="en-US"/>
        </w:rPr>
        <w:t xml:space="preserve"> were ranked in ascending order where H</w:t>
      </w:r>
      <w:r w:rsidRPr="003D2881">
        <w:rPr>
          <w:color w:val="auto"/>
          <w:vertAlign w:val="subscript"/>
          <w:lang w:val="en-US"/>
        </w:rPr>
        <w:t>1</w:t>
      </w:r>
      <w:r w:rsidRPr="003D2881">
        <w:rPr>
          <w:color w:val="auto"/>
          <w:lang w:val="en-US"/>
        </w:rPr>
        <w:t xml:space="preserve"> denotes the smallest and H</w:t>
      </w:r>
      <w:r w:rsidRPr="003D2881">
        <w:rPr>
          <w:color w:val="auto"/>
          <w:vertAlign w:val="subscript"/>
          <w:lang w:val="en-US"/>
        </w:rPr>
        <w:t>201</w:t>
      </w:r>
      <w:r w:rsidRPr="003D2881">
        <w:rPr>
          <w:color w:val="auto"/>
          <w:lang w:val="en-US"/>
        </w:rPr>
        <w:t xml:space="preserve"> the largest p level. The p value for the rejection of each individual null hypothesis was then compared to its required </w:t>
      </w:r>
      <w:r w:rsidRPr="003D2881">
        <w:rPr>
          <w:color w:val="auto"/>
        </w:rPr>
        <w:t>α</w:t>
      </w:r>
      <w:r w:rsidRPr="003D2881">
        <w:rPr>
          <w:color w:val="auto"/>
          <w:lang w:val="en-US"/>
        </w:rPr>
        <w:t xml:space="preserve"> level (e.g., </w:t>
      </w:r>
      <w:r w:rsidRPr="003D2881">
        <w:rPr>
          <w:color w:val="auto"/>
        </w:rPr>
        <w:t>α</w:t>
      </w:r>
      <w:r w:rsidRPr="003D2881">
        <w:rPr>
          <w:color w:val="auto"/>
          <w:vertAlign w:val="subscript"/>
          <w:lang w:val="en-US"/>
        </w:rPr>
        <w:t>1</w:t>
      </w:r>
      <w:r w:rsidRPr="003D2881">
        <w:rPr>
          <w:color w:val="auto"/>
          <w:lang w:val="en-US"/>
        </w:rPr>
        <w:t>/k (0.05/201 = 0.000249) for H</w:t>
      </w:r>
      <w:r w:rsidRPr="003D2881">
        <w:rPr>
          <w:color w:val="auto"/>
          <w:vertAlign w:val="subscript"/>
          <w:lang w:val="en-US"/>
        </w:rPr>
        <w:t>1</w:t>
      </w:r>
      <w:r w:rsidRPr="003D2881">
        <w:rPr>
          <w:color w:val="auto"/>
          <w:lang w:val="en-US"/>
        </w:rPr>
        <w:t xml:space="preserve">; </w:t>
      </w:r>
      <w:r w:rsidRPr="003D2881">
        <w:rPr>
          <w:color w:val="auto"/>
        </w:rPr>
        <w:t>α</w:t>
      </w:r>
      <w:r w:rsidRPr="003D2881">
        <w:rPr>
          <w:color w:val="auto"/>
          <w:vertAlign w:val="subscript"/>
          <w:lang w:val="en-US"/>
        </w:rPr>
        <w:t>2</w:t>
      </w:r>
      <w:proofErr w:type="gramStart"/>
      <w:r w:rsidRPr="003D2881">
        <w:rPr>
          <w:color w:val="auto"/>
          <w:lang w:val="en-US"/>
        </w:rPr>
        <w:t>/(</w:t>
      </w:r>
      <w:proofErr w:type="gramEnd"/>
      <w:r w:rsidRPr="003D2881">
        <w:rPr>
          <w:color w:val="auto"/>
          <w:lang w:val="en-US"/>
        </w:rPr>
        <w:t>k-1) (0.05/200 = 0.00025) for H</w:t>
      </w:r>
      <w:r w:rsidRPr="003D2881">
        <w:rPr>
          <w:color w:val="auto"/>
          <w:vertAlign w:val="subscript"/>
          <w:lang w:val="en-US"/>
        </w:rPr>
        <w:t>2</w:t>
      </w:r>
      <w:r w:rsidRPr="003D2881">
        <w:rPr>
          <w:color w:val="auto"/>
          <w:lang w:val="en-US"/>
        </w:rPr>
        <w:t xml:space="preserve"> etc.). As long as a given p was smaller than its required </w:t>
      </w:r>
      <w:r w:rsidRPr="003D2881">
        <w:rPr>
          <w:color w:val="auto"/>
        </w:rPr>
        <w:t>α</w:t>
      </w:r>
      <w:r w:rsidRPr="003D2881">
        <w:rPr>
          <w:color w:val="auto"/>
          <w:lang w:val="en-US"/>
        </w:rPr>
        <w:t xml:space="preserve"> level, the respective null hypothesis was rejected and the algorithm continued until p exceeded the required </w:t>
      </w:r>
      <w:r w:rsidRPr="003D2881">
        <w:rPr>
          <w:color w:val="auto"/>
        </w:rPr>
        <w:t>α</w:t>
      </w:r>
      <w:r w:rsidRPr="003D2881">
        <w:rPr>
          <w:color w:val="auto"/>
          <w:lang w:val="en-US"/>
        </w:rPr>
        <w:t xml:space="preserve"> level. At this point, the differences among the different groups were no longer considered statistically significant.</w:t>
      </w:r>
    </w:p>
    <w:p w:rsidR="00D24F3A" w:rsidRPr="003D2881" w:rsidRDefault="003D2881">
      <w:pPr>
        <w:rPr>
          <w:color w:val="auto"/>
          <w:lang w:val="en-US"/>
        </w:rPr>
      </w:pPr>
    </w:p>
    <w:sectPr w:rsidR="00D24F3A" w:rsidRPr="003D2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D6"/>
    <w:rsid w:val="003D2881"/>
    <w:rsid w:val="00756B6C"/>
    <w:rsid w:val="009312D6"/>
    <w:rsid w:val="00973F7C"/>
    <w:rsid w:val="00BC5919"/>
    <w:rsid w:val="00D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312D6"/>
    <w:pPr>
      <w:tabs>
        <w:tab w:val="left" w:pos="708"/>
      </w:tabs>
    </w:pPr>
    <w:rPr>
      <w:rFonts w:ascii="Calibri" w:eastAsia="Calibri" w:hAnsi="Calibri" w:cs="Calibri"/>
      <w:color w:val="00000A"/>
      <w:lang w:eastAsia="de-DE"/>
    </w:rPr>
  </w:style>
  <w:style w:type="paragraph" w:styleId="berschrift3">
    <w:name w:val="heading 3"/>
    <w:basedOn w:val="Standard"/>
    <w:next w:val="Standard"/>
    <w:link w:val="berschrift3Zchn"/>
    <w:rsid w:val="009312D6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D6"/>
    <w:rPr>
      <w:rFonts w:ascii="Tahoma" w:eastAsia="Calibri" w:hAnsi="Tahoma" w:cs="Tahoma"/>
      <w:color w:val="00000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312D6"/>
    <w:rPr>
      <w:rFonts w:ascii="Calibri" w:eastAsia="Calibri" w:hAnsi="Calibri" w:cs="Calibri"/>
      <w:b/>
      <w:color w:val="00000A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312D6"/>
    <w:pPr>
      <w:tabs>
        <w:tab w:val="left" w:pos="708"/>
      </w:tabs>
    </w:pPr>
    <w:rPr>
      <w:rFonts w:ascii="Calibri" w:eastAsia="Calibri" w:hAnsi="Calibri" w:cs="Calibri"/>
      <w:color w:val="00000A"/>
      <w:lang w:eastAsia="de-DE"/>
    </w:rPr>
  </w:style>
  <w:style w:type="paragraph" w:styleId="berschrift3">
    <w:name w:val="heading 3"/>
    <w:basedOn w:val="Standard"/>
    <w:next w:val="Standard"/>
    <w:link w:val="berschrift3Zchn"/>
    <w:rsid w:val="009312D6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D6"/>
    <w:rPr>
      <w:rFonts w:ascii="Tahoma" w:eastAsia="Calibri" w:hAnsi="Tahoma" w:cs="Tahoma"/>
      <w:color w:val="00000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312D6"/>
    <w:rPr>
      <w:rFonts w:ascii="Calibri" w:eastAsia="Calibri" w:hAnsi="Calibri" w:cs="Calibri"/>
      <w:b/>
      <w:color w:val="00000A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Company>Universitätsklinikum Jena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Anders, Christoph</dc:creator>
  <cp:lastModifiedBy>Anders, Christoph</cp:lastModifiedBy>
  <cp:revision>2</cp:revision>
  <dcterms:created xsi:type="dcterms:W3CDTF">2017-04-05T11:34:00Z</dcterms:created>
  <dcterms:modified xsi:type="dcterms:W3CDTF">2017-04-05T11:47:00Z</dcterms:modified>
</cp:coreProperties>
</file>