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72" w:rsidRDefault="006C2917" w:rsidP="004023AA">
      <w:pPr>
        <w:pStyle w:val="NormalWeb"/>
        <w:spacing w:line="240" w:lineRule="auto"/>
        <w:rPr>
          <w:b/>
        </w:rPr>
      </w:pPr>
      <w:r>
        <w:rPr>
          <w:b/>
        </w:rPr>
        <w:t>S</w:t>
      </w:r>
      <w:r w:rsidR="009E6DC8">
        <w:rPr>
          <w:b/>
        </w:rPr>
        <w:t>3</w:t>
      </w:r>
      <w:r>
        <w:rPr>
          <w:b/>
        </w:rPr>
        <w:t xml:space="preserve"> Text</w:t>
      </w:r>
      <w:r w:rsidR="00B53172">
        <w:rPr>
          <w:b/>
        </w:rPr>
        <w:t>. Analyzing and imputing missing data in the CRS</w:t>
      </w:r>
    </w:p>
    <w:p w:rsidR="00B53172" w:rsidRPr="00E75EC4" w:rsidRDefault="00B53172" w:rsidP="00B53172">
      <w:pPr>
        <w:pStyle w:val="ListParagraph"/>
        <w:numPr>
          <w:ilvl w:val="0"/>
          <w:numId w:val="26"/>
        </w:numPr>
        <w:autoSpaceDE w:val="0"/>
        <w:autoSpaceDN w:val="0"/>
        <w:adjustRightInd w:val="0"/>
        <w:spacing w:after="0" w:line="240" w:lineRule="auto"/>
        <w:ind w:left="360"/>
        <w:rPr>
          <w:rFonts w:ascii="Times New Roman" w:hAnsi="Times New Roman"/>
          <w:sz w:val="24"/>
          <w:szCs w:val="24"/>
        </w:rPr>
      </w:pPr>
      <w:r w:rsidRPr="00E75EC4">
        <w:rPr>
          <w:rFonts w:ascii="Times New Roman" w:hAnsi="Times New Roman"/>
          <w:sz w:val="24"/>
          <w:szCs w:val="24"/>
        </w:rPr>
        <w:t>Analyzing missing aid activity data in CRS</w:t>
      </w:r>
    </w:p>
    <w:p w:rsidR="00B53172" w:rsidRDefault="00B53172" w:rsidP="00AC0F4B">
      <w:pPr>
        <w:pStyle w:val="ListParagraph"/>
        <w:spacing w:line="240" w:lineRule="auto"/>
        <w:ind w:left="0"/>
        <w:rPr>
          <w:rFonts w:ascii="Times New Roman" w:hAnsi="Times New Roman"/>
          <w:sz w:val="24"/>
          <w:szCs w:val="24"/>
        </w:rPr>
      </w:pPr>
      <w:r>
        <w:rPr>
          <w:rFonts w:ascii="Times New Roman" w:hAnsi="Times New Roman"/>
          <w:sz w:val="24"/>
          <w:szCs w:val="24"/>
        </w:rPr>
        <w:t>The CRS aid database can be used to obtain yearly disbursements to recipient countries by sectors. O</w:t>
      </w:r>
      <w:r w:rsidRPr="00AC02A0">
        <w:rPr>
          <w:rFonts w:ascii="Times New Roman" w:hAnsi="Times New Roman"/>
          <w:sz w:val="24"/>
          <w:szCs w:val="24"/>
        </w:rPr>
        <w:t xml:space="preserve">ne major issue of </w:t>
      </w:r>
      <w:r>
        <w:rPr>
          <w:rFonts w:ascii="Times New Roman" w:hAnsi="Times New Roman"/>
          <w:sz w:val="24"/>
          <w:szCs w:val="24"/>
        </w:rPr>
        <w:t xml:space="preserve">the CRS </w:t>
      </w:r>
      <w:r w:rsidRPr="00AC02A0">
        <w:rPr>
          <w:rFonts w:ascii="Times New Roman" w:hAnsi="Times New Roman"/>
          <w:sz w:val="24"/>
          <w:szCs w:val="24"/>
        </w:rPr>
        <w:t>data is its incomplete</w:t>
      </w:r>
      <w:r>
        <w:rPr>
          <w:rFonts w:ascii="Times New Roman" w:hAnsi="Times New Roman"/>
          <w:sz w:val="24"/>
          <w:szCs w:val="24"/>
        </w:rPr>
        <w:t>ness of the reported disbursements</w:t>
      </w:r>
      <w:r w:rsidRPr="007E6BAD">
        <w:rPr>
          <w:rFonts w:ascii="Times New Roman" w:hAnsi="Times New Roman"/>
          <w:sz w:val="24"/>
          <w:szCs w:val="24"/>
        </w:rPr>
        <w:t xml:space="preserve">.  </w:t>
      </w:r>
      <w:r>
        <w:rPr>
          <w:rFonts w:ascii="Times New Roman" w:hAnsi="Times New Roman"/>
          <w:sz w:val="24"/>
          <w:szCs w:val="24"/>
        </w:rPr>
        <w:t>Some d</w:t>
      </w:r>
      <w:r w:rsidRPr="007E6BAD">
        <w:rPr>
          <w:rFonts w:ascii="Times New Roman" w:hAnsi="Times New Roman"/>
          <w:sz w:val="24"/>
          <w:szCs w:val="24"/>
        </w:rPr>
        <w:t xml:space="preserve">onors </w:t>
      </w:r>
      <w:r>
        <w:rPr>
          <w:rFonts w:ascii="Times New Roman" w:hAnsi="Times New Roman"/>
          <w:sz w:val="24"/>
          <w:szCs w:val="24"/>
        </w:rPr>
        <w:t>reported the aggregated disbursements to DAC, but did not report the related aid activities to the CRS</w:t>
      </w:r>
      <w:r w:rsidRPr="007E6BAD">
        <w:rPr>
          <w:rFonts w:ascii="Times New Roman" w:hAnsi="Times New Roman"/>
          <w:sz w:val="24"/>
          <w:szCs w:val="24"/>
        </w:rPr>
        <w:t xml:space="preserve">. </w:t>
      </w:r>
      <w:r>
        <w:rPr>
          <w:rFonts w:ascii="Times New Roman" w:hAnsi="Times New Roman"/>
          <w:sz w:val="24"/>
          <w:szCs w:val="24"/>
        </w:rPr>
        <w:t>The difference between disbursements reported to DAC and CRS has been used to measure the completeness of CRS data: the missing rate in each year is the difference between aggregated disbursements reported to the CRS and to the DAC as a percentage of aggregated disbursements reported to the DAC. According to the DAC, overall missing rate in CRS is about 40% before 2002 and the completeness rate reached nearly 100% since 2007.</w:t>
      </w:r>
      <w:r w:rsidR="004A198E">
        <w:rPr>
          <w:rFonts w:ascii="Times New Roman" w:hAnsi="Times New Roman"/>
          <w:sz w:val="24"/>
          <w:szCs w:val="24"/>
          <w:vertAlign w:val="superscript"/>
        </w:rPr>
        <w:t>1</w:t>
      </w:r>
      <w:r>
        <w:rPr>
          <w:rFonts w:ascii="Times New Roman" w:hAnsi="Times New Roman"/>
          <w:sz w:val="24"/>
          <w:szCs w:val="24"/>
        </w:rPr>
        <w:t xml:space="preserve"> Missing rates at the sector level, however, were not available. It is not known whether the missed disbursements data in CRS is randomly distributed across the sectors or focused in a few sectors. </w:t>
      </w:r>
    </w:p>
    <w:p w:rsidR="00AC0F4B" w:rsidRDefault="00AC0F4B" w:rsidP="00B53172">
      <w:pPr>
        <w:pStyle w:val="ListParagraph"/>
        <w:spacing w:line="240" w:lineRule="auto"/>
        <w:ind w:left="0"/>
        <w:rPr>
          <w:rFonts w:ascii="Times New Roman" w:hAnsi="Times New Roman"/>
          <w:sz w:val="24"/>
          <w:szCs w:val="24"/>
        </w:rPr>
      </w:pPr>
    </w:p>
    <w:p w:rsidR="00C36686" w:rsidRDefault="00B53172" w:rsidP="00B53172">
      <w:pPr>
        <w:pStyle w:val="ListParagraph"/>
        <w:spacing w:line="240" w:lineRule="auto"/>
        <w:ind w:left="0"/>
        <w:rPr>
          <w:rFonts w:ascii="Times New Roman" w:hAnsi="Times New Roman"/>
          <w:sz w:val="24"/>
          <w:szCs w:val="24"/>
        </w:rPr>
      </w:pPr>
      <w:r w:rsidRPr="009D3BD3">
        <w:rPr>
          <w:rFonts w:ascii="Times New Roman" w:hAnsi="Times New Roman"/>
          <w:sz w:val="24"/>
          <w:szCs w:val="24"/>
        </w:rPr>
        <w:t xml:space="preserve">We started with examining the missing activity </w:t>
      </w:r>
      <w:r>
        <w:rPr>
          <w:rFonts w:ascii="Times New Roman" w:hAnsi="Times New Roman"/>
          <w:sz w:val="24"/>
          <w:szCs w:val="24"/>
        </w:rPr>
        <w:t>data in 134</w:t>
      </w:r>
      <w:r w:rsidRPr="009D3BD3">
        <w:rPr>
          <w:rFonts w:ascii="Times New Roman" w:hAnsi="Times New Roman"/>
          <w:sz w:val="24"/>
          <w:szCs w:val="24"/>
        </w:rPr>
        <w:t xml:space="preserve"> low- and middle- income recipients in the CRS between 2000 and 2014. We found that, the missing rate decreased from 53% in 2000 </w:t>
      </w:r>
      <w:r>
        <w:rPr>
          <w:rFonts w:ascii="Times New Roman" w:hAnsi="Times New Roman"/>
          <w:sz w:val="24"/>
          <w:szCs w:val="24"/>
        </w:rPr>
        <w:t>to 5% in 2006, and rose up in 2007 to 15%, and then went down to 9% or below since 2008 (</w:t>
      </w:r>
      <w:r w:rsidR="006C2917">
        <w:rPr>
          <w:rFonts w:ascii="Times New Roman" w:hAnsi="Times New Roman"/>
          <w:b/>
          <w:sz w:val="24"/>
          <w:szCs w:val="24"/>
        </w:rPr>
        <w:t>S1 F</w:t>
      </w:r>
      <w:r w:rsidRPr="00D33173">
        <w:rPr>
          <w:rFonts w:ascii="Times New Roman" w:hAnsi="Times New Roman"/>
          <w:b/>
          <w:sz w:val="24"/>
          <w:szCs w:val="24"/>
        </w:rPr>
        <w:t>ig</w:t>
      </w:r>
      <w:r w:rsidR="006C2917">
        <w:rPr>
          <w:rFonts w:ascii="Times New Roman" w:hAnsi="Times New Roman"/>
          <w:b/>
          <w:sz w:val="24"/>
          <w:szCs w:val="24"/>
        </w:rPr>
        <w:t>.</w:t>
      </w:r>
      <w:r>
        <w:rPr>
          <w:rFonts w:ascii="Times New Roman" w:hAnsi="Times New Roman"/>
          <w:sz w:val="24"/>
          <w:szCs w:val="24"/>
        </w:rPr>
        <w:t xml:space="preserve">). </w:t>
      </w:r>
    </w:p>
    <w:p w:rsidR="00C36686" w:rsidRDefault="00C36686" w:rsidP="00B53172">
      <w:pPr>
        <w:pStyle w:val="ListParagraph"/>
        <w:spacing w:line="240" w:lineRule="auto"/>
        <w:ind w:left="0"/>
        <w:rPr>
          <w:rFonts w:ascii="Times New Roman" w:hAnsi="Times New Roman"/>
          <w:sz w:val="24"/>
          <w:szCs w:val="24"/>
        </w:rPr>
      </w:pPr>
    </w:p>
    <w:p w:rsidR="00C36686" w:rsidRDefault="00B53172" w:rsidP="00B53172">
      <w:pPr>
        <w:pStyle w:val="ListParagraph"/>
        <w:spacing w:line="240" w:lineRule="auto"/>
        <w:ind w:left="0"/>
        <w:rPr>
          <w:rFonts w:ascii="Times New Roman" w:hAnsi="Times New Roman"/>
          <w:sz w:val="24"/>
          <w:szCs w:val="24"/>
        </w:rPr>
      </w:pPr>
      <w:r>
        <w:rPr>
          <w:rFonts w:ascii="Times New Roman" w:hAnsi="Times New Roman"/>
          <w:sz w:val="24"/>
          <w:szCs w:val="24"/>
        </w:rPr>
        <w:t>We then examined the missing rates by income groups and regions to check whether countries in a specific region or income group were more likely to have missing data than others. For three income groups, except lower-middle income group, the missing rate went down to less than 10% since 2008 (</w:t>
      </w:r>
      <w:r w:rsidR="006C2917">
        <w:rPr>
          <w:rFonts w:ascii="Times New Roman" w:hAnsi="Times New Roman"/>
          <w:b/>
          <w:sz w:val="24"/>
          <w:szCs w:val="24"/>
        </w:rPr>
        <w:t>S2 F</w:t>
      </w:r>
      <w:r w:rsidRPr="00D33173">
        <w:rPr>
          <w:rFonts w:ascii="Times New Roman" w:hAnsi="Times New Roman"/>
          <w:b/>
          <w:sz w:val="24"/>
          <w:szCs w:val="24"/>
        </w:rPr>
        <w:t>ig</w:t>
      </w:r>
      <w:r w:rsidR="006C2917">
        <w:rPr>
          <w:rFonts w:ascii="Times New Roman" w:hAnsi="Times New Roman"/>
          <w:b/>
          <w:sz w:val="24"/>
          <w:szCs w:val="24"/>
        </w:rPr>
        <w:t>.</w:t>
      </w:r>
      <w:r>
        <w:rPr>
          <w:rFonts w:ascii="Times New Roman" w:hAnsi="Times New Roman"/>
          <w:sz w:val="24"/>
          <w:szCs w:val="24"/>
        </w:rPr>
        <w:t xml:space="preserve">). </w:t>
      </w:r>
    </w:p>
    <w:p w:rsidR="00C36686" w:rsidRDefault="00C36686" w:rsidP="00B53172">
      <w:pPr>
        <w:pStyle w:val="ListParagraph"/>
        <w:spacing w:line="240" w:lineRule="auto"/>
        <w:ind w:left="0"/>
        <w:rPr>
          <w:rFonts w:ascii="Times New Roman" w:hAnsi="Times New Roman"/>
          <w:sz w:val="24"/>
          <w:szCs w:val="24"/>
        </w:rPr>
      </w:pPr>
    </w:p>
    <w:p w:rsidR="00B53172" w:rsidRDefault="00B53172" w:rsidP="00B53172">
      <w:pPr>
        <w:pStyle w:val="ListParagraph"/>
        <w:spacing w:line="240" w:lineRule="auto"/>
        <w:ind w:left="0"/>
        <w:rPr>
          <w:rFonts w:ascii="Times New Roman" w:hAnsi="Times New Roman"/>
          <w:sz w:val="24"/>
          <w:szCs w:val="24"/>
        </w:rPr>
      </w:pPr>
      <w:r>
        <w:rPr>
          <w:rFonts w:ascii="Times New Roman" w:hAnsi="Times New Roman"/>
          <w:sz w:val="24"/>
          <w:szCs w:val="24"/>
        </w:rPr>
        <w:t>Missing rates in all regions improved substantially and were 10% or below since 2006 except a few exceptions: in America, the missing rate jumped back to 44% in 2007 due to lack of reporting in the CRS from IDB Special Fund on disbursements to Nicaragua and Bolivia. In Asia, the missing rates were 14% and 12% in 2007 and 2009 respectively (</w:t>
      </w:r>
      <w:r w:rsidR="006C2917">
        <w:rPr>
          <w:rFonts w:ascii="Times New Roman" w:hAnsi="Times New Roman"/>
          <w:b/>
          <w:sz w:val="24"/>
          <w:szCs w:val="24"/>
        </w:rPr>
        <w:t>S3 F</w:t>
      </w:r>
      <w:r w:rsidRPr="00B75DB6">
        <w:rPr>
          <w:rFonts w:ascii="Times New Roman" w:hAnsi="Times New Roman"/>
          <w:b/>
          <w:sz w:val="24"/>
          <w:szCs w:val="24"/>
        </w:rPr>
        <w:t>i</w:t>
      </w:r>
      <w:r>
        <w:rPr>
          <w:rFonts w:ascii="Times New Roman" w:hAnsi="Times New Roman"/>
          <w:b/>
          <w:sz w:val="24"/>
          <w:szCs w:val="24"/>
        </w:rPr>
        <w:t>g</w:t>
      </w:r>
      <w:r w:rsidR="006C2917">
        <w:rPr>
          <w:rFonts w:ascii="Times New Roman" w:hAnsi="Times New Roman"/>
          <w:b/>
          <w:sz w:val="24"/>
          <w:szCs w:val="24"/>
        </w:rPr>
        <w:t xml:space="preserve">). </w:t>
      </w:r>
      <w:r>
        <w:rPr>
          <w:rFonts w:ascii="Times New Roman" w:hAnsi="Times New Roman"/>
          <w:sz w:val="24"/>
          <w:szCs w:val="24"/>
        </w:rPr>
        <w:t xml:space="preserve">Data missing in African region has the biggest improvement: missing rate went down from 54% in 2000 to 8% or below since 2005. </w:t>
      </w:r>
    </w:p>
    <w:p w:rsidR="00C36686" w:rsidRPr="004810F9" w:rsidRDefault="00B53172" w:rsidP="004810F9">
      <w:pPr>
        <w:pStyle w:val="ListParagraph"/>
        <w:spacing w:line="240" w:lineRule="auto"/>
        <w:ind w:left="0"/>
        <w:rPr>
          <w:rFonts w:ascii="Times New Roman" w:hAnsi="Times New Roman"/>
          <w:sz w:val="24"/>
          <w:szCs w:val="24"/>
        </w:rPr>
      </w:pPr>
      <w:r>
        <w:rPr>
          <w:rFonts w:ascii="Times New Roman" w:hAnsi="Times New Roman"/>
          <w:sz w:val="24"/>
          <w:szCs w:val="24"/>
        </w:rPr>
        <w:t>Note that the same missing rate in the two countries with different level of reliance on foreign aid means differently for the two countries. With available country-level health expenditure data in health sector,</w:t>
      </w:r>
      <w:r w:rsidR="004A198E">
        <w:rPr>
          <w:rFonts w:ascii="Times New Roman" w:hAnsi="Times New Roman"/>
          <w:sz w:val="24"/>
          <w:szCs w:val="24"/>
          <w:vertAlign w:val="superscript"/>
        </w:rPr>
        <w:t>2</w:t>
      </w:r>
      <w:r>
        <w:rPr>
          <w:rFonts w:ascii="Times New Roman" w:hAnsi="Times New Roman"/>
          <w:sz w:val="24"/>
          <w:szCs w:val="24"/>
        </w:rPr>
        <w:t xml:space="preserve"> we obtained annual average missing rate between 2000 and 2014 for 74 priority countries listed in the Countdown Initiative with different level of reliance on health aid, measured by % of health aid in total health expenditure. We chose 10% as a cutoff point for high- or low-reliance on health aid</w:t>
      </w:r>
      <w:r w:rsidR="002A465B">
        <w:rPr>
          <w:rFonts w:ascii="Times New Roman" w:hAnsi="Times New Roman"/>
          <w:sz w:val="24"/>
          <w:szCs w:val="24"/>
        </w:rPr>
        <w:t xml:space="preserve">: among 134 countries, </w:t>
      </w:r>
      <w:r w:rsidR="00D472CF">
        <w:rPr>
          <w:rFonts w:ascii="Times New Roman" w:hAnsi="Times New Roman"/>
          <w:sz w:val="24"/>
          <w:szCs w:val="24"/>
        </w:rPr>
        <w:t xml:space="preserve">the median of government spending on health as % of government spending is 10%. </w:t>
      </w:r>
      <w:r>
        <w:rPr>
          <w:rFonts w:ascii="Times New Roman" w:hAnsi="Times New Roman"/>
          <w:sz w:val="24"/>
          <w:szCs w:val="24"/>
        </w:rPr>
        <w:t>The average missing rate for high-reliance countries is very close to that for low-reliance countries (</w:t>
      </w:r>
      <w:r w:rsidR="006C2917">
        <w:rPr>
          <w:rFonts w:ascii="Times New Roman" w:hAnsi="Times New Roman"/>
          <w:b/>
          <w:sz w:val="24"/>
          <w:szCs w:val="24"/>
        </w:rPr>
        <w:t>S4 F</w:t>
      </w:r>
      <w:r w:rsidRPr="00B75DB6">
        <w:rPr>
          <w:rFonts w:ascii="Times New Roman" w:hAnsi="Times New Roman"/>
          <w:b/>
          <w:sz w:val="24"/>
          <w:szCs w:val="24"/>
        </w:rPr>
        <w:t>ig</w:t>
      </w:r>
      <w:r w:rsidR="006C2917">
        <w:rPr>
          <w:rFonts w:ascii="Times New Roman" w:hAnsi="Times New Roman"/>
          <w:b/>
          <w:sz w:val="24"/>
          <w:szCs w:val="24"/>
        </w:rPr>
        <w:t>.</w:t>
      </w:r>
      <w:r>
        <w:rPr>
          <w:rFonts w:ascii="Times New Roman" w:hAnsi="Times New Roman"/>
          <w:sz w:val="24"/>
          <w:szCs w:val="24"/>
        </w:rPr>
        <w:t xml:space="preserve">), suggesting no systematic difference in missing pattern between these two groups. Analysis about aid effect on child mortality should be conducted separately for the countdown priority countries with different reliance on health aid. </w:t>
      </w:r>
    </w:p>
    <w:p w:rsidR="00AC0F4B" w:rsidRDefault="00B53172" w:rsidP="00AC0F4B">
      <w:pPr>
        <w:spacing w:line="240" w:lineRule="auto"/>
        <w:rPr>
          <w:rFonts w:ascii="Times New Roman" w:hAnsi="Times New Roman"/>
          <w:sz w:val="24"/>
          <w:szCs w:val="24"/>
        </w:rPr>
      </w:pPr>
      <w:r>
        <w:rPr>
          <w:rFonts w:ascii="Times New Roman" w:hAnsi="Times New Roman"/>
          <w:sz w:val="24"/>
          <w:szCs w:val="24"/>
        </w:rPr>
        <w:t>We further identified the sources of missing data by comparing disbursements reported by a specific donor (d) to a specific recipient (r) in a year (y) in the DAC (</w:t>
      </w:r>
      <w:proofErr w:type="spellStart"/>
      <w:r>
        <w:rPr>
          <w:rFonts w:ascii="Times New Roman" w:hAnsi="Times New Roman"/>
          <w:sz w:val="24"/>
          <w:szCs w:val="24"/>
        </w:rPr>
        <w:t>DAC</w:t>
      </w:r>
      <w:r>
        <w:rPr>
          <w:rFonts w:ascii="Times New Roman" w:hAnsi="Times New Roman"/>
          <w:sz w:val="24"/>
          <w:szCs w:val="24"/>
          <w:vertAlign w:val="subscript"/>
        </w:rPr>
        <w:t>dry</w:t>
      </w:r>
      <w:proofErr w:type="spellEnd"/>
      <w:r>
        <w:rPr>
          <w:rFonts w:ascii="Times New Roman" w:hAnsi="Times New Roman"/>
          <w:sz w:val="24"/>
          <w:szCs w:val="24"/>
        </w:rPr>
        <w:t>) to that in CRS (</w:t>
      </w:r>
      <w:proofErr w:type="spellStart"/>
      <w:r>
        <w:rPr>
          <w:rFonts w:ascii="Times New Roman" w:hAnsi="Times New Roman"/>
          <w:sz w:val="24"/>
          <w:szCs w:val="24"/>
        </w:rPr>
        <w:t>CRS</w:t>
      </w:r>
      <w:r>
        <w:rPr>
          <w:rFonts w:ascii="Times New Roman" w:hAnsi="Times New Roman"/>
          <w:sz w:val="24"/>
          <w:szCs w:val="24"/>
          <w:vertAlign w:val="subscript"/>
        </w:rPr>
        <w:t>dry</w:t>
      </w:r>
      <w:proofErr w:type="spellEnd"/>
      <w:r>
        <w:rPr>
          <w:rFonts w:ascii="Times New Roman" w:hAnsi="Times New Roman"/>
          <w:sz w:val="24"/>
          <w:szCs w:val="24"/>
        </w:rPr>
        <w:t xml:space="preserve">). </w:t>
      </w:r>
      <w:r w:rsidR="00AC0F4B" w:rsidRPr="00786F7F">
        <w:rPr>
          <w:rFonts w:ascii="Times New Roman" w:hAnsi="Times New Roman"/>
          <w:sz w:val="24"/>
          <w:szCs w:val="24"/>
        </w:rPr>
        <w:t xml:space="preserve">Our investigation shows that the difference between the data in DAC and CRS mainly comes from three channels: (1) donors reported to DAC but not to CRS, (2) donors reported to both CRS and DAC with more years or more recipients in DAC than in CRS, and (3) donors </w:t>
      </w:r>
      <w:r w:rsidR="00AC0F4B" w:rsidRPr="00786F7F">
        <w:rPr>
          <w:rFonts w:ascii="Times New Roman" w:hAnsi="Times New Roman"/>
          <w:sz w:val="24"/>
          <w:szCs w:val="24"/>
        </w:rPr>
        <w:lastRenderedPageBreak/>
        <w:t xml:space="preserve">reported to both CRS and DAC in the same year for the same recipients, but the level in CRS is smaller than that in the DAC. </w:t>
      </w:r>
    </w:p>
    <w:p w:rsidR="00355895" w:rsidRDefault="00B53172" w:rsidP="00B53172">
      <w:pPr>
        <w:spacing w:line="240" w:lineRule="auto"/>
        <w:rPr>
          <w:rFonts w:ascii="Times New Roman" w:hAnsi="Times New Roman"/>
          <w:sz w:val="24"/>
          <w:szCs w:val="24"/>
        </w:rPr>
      </w:pPr>
      <w:r>
        <w:rPr>
          <w:rFonts w:ascii="Times New Roman" w:hAnsi="Times New Roman"/>
          <w:sz w:val="24"/>
          <w:szCs w:val="24"/>
        </w:rPr>
        <w:t>There are 84</w:t>
      </w:r>
      <w:r w:rsidRPr="00A31386">
        <w:rPr>
          <w:rFonts w:ascii="Times New Roman" w:hAnsi="Times New Roman"/>
          <w:sz w:val="24"/>
          <w:szCs w:val="24"/>
        </w:rPr>
        <w:t xml:space="preserve"> donors report</w:t>
      </w:r>
      <w:r>
        <w:rPr>
          <w:rFonts w:ascii="Times New Roman" w:hAnsi="Times New Roman"/>
          <w:sz w:val="24"/>
          <w:szCs w:val="24"/>
        </w:rPr>
        <w:t>ed to the DAC and among them, 67</w:t>
      </w:r>
      <w:r w:rsidRPr="00A31386">
        <w:rPr>
          <w:rFonts w:ascii="Times New Roman" w:hAnsi="Times New Roman"/>
          <w:sz w:val="24"/>
          <w:szCs w:val="24"/>
        </w:rPr>
        <w:t xml:space="preserve"> donors reported </w:t>
      </w:r>
      <w:r>
        <w:rPr>
          <w:rFonts w:ascii="Times New Roman" w:hAnsi="Times New Roman"/>
          <w:sz w:val="24"/>
          <w:szCs w:val="24"/>
        </w:rPr>
        <w:t xml:space="preserve">aid activities </w:t>
      </w:r>
      <w:r w:rsidRPr="00A31386">
        <w:rPr>
          <w:rFonts w:ascii="Times New Roman" w:hAnsi="Times New Roman"/>
          <w:sz w:val="24"/>
          <w:szCs w:val="24"/>
        </w:rPr>
        <w:t xml:space="preserve">to the CRS. </w:t>
      </w:r>
      <w:r>
        <w:rPr>
          <w:rFonts w:ascii="Times New Roman" w:hAnsi="Times New Roman"/>
          <w:sz w:val="24"/>
          <w:szCs w:val="24"/>
        </w:rPr>
        <w:t xml:space="preserve">The 17 donors who reported to DAC but not to CRS include Saudi Arabia, Russia, Israel, </w:t>
      </w:r>
      <w:proofErr w:type="gramStart"/>
      <w:r>
        <w:rPr>
          <w:rFonts w:ascii="Times New Roman" w:hAnsi="Times New Roman"/>
          <w:sz w:val="24"/>
          <w:szCs w:val="24"/>
        </w:rPr>
        <w:t>United</w:t>
      </w:r>
      <w:proofErr w:type="gramEnd"/>
      <w:r>
        <w:rPr>
          <w:rFonts w:ascii="Times New Roman" w:hAnsi="Times New Roman"/>
          <w:sz w:val="24"/>
          <w:szCs w:val="24"/>
        </w:rPr>
        <w:t xml:space="preserve"> Nations Regular </w:t>
      </w:r>
      <w:proofErr w:type="spellStart"/>
      <w:r>
        <w:rPr>
          <w:rFonts w:ascii="Times New Roman" w:hAnsi="Times New Roman"/>
          <w:sz w:val="24"/>
          <w:szCs w:val="24"/>
        </w:rPr>
        <w:t>Programme</w:t>
      </w:r>
      <w:proofErr w:type="spellEnd"/>
      <w:r>
        <w:rPr>
          <w:rFonts w:ascii="Times New Roman" w:hAnsi="Times New Roman"/>
          <w:sz w:val="24"/>
          <w:szCs w:val="24"/>
        </w:rPr>
        <w:t xml:space="preserve"> for Technical Assistance (UNTA), Chinese Taipei, etc. Among 67 </w:t>
      </w:r>
      <w:r w:rsidRPr="00A31386">
        <w:rPr>
          <w:rFonts w:ascii="Times New Roman" w:hAnsi="Times New Roman"/>
          <w:sz w:val="24"/>
          <w:szCs w:val="24"/>
        </w:rPr>
        <w:t>donors reported to both CRS and DAC</w:t>
      </w:r>
      <w:r w:rsidRPr="00FB1537">
        <w:rPr>
          <w:rFonts w:ascii="Times New Roman" w:hAnsi="Times New Roman"/>
          <w:sz w:val="24"/>
          <w:szCs w:val="24"/>
        </w:rPr>
        <w:t xml:space="preserve">, </w:t>
      </w:r>
      <w:r w:rsidR="00FB1537" w:rsidRPr="00FB1537">
        <w:rPr>
          <w:rFonts w:ascii="Times New Roman" w:hAnsi="Times New Roman"/>
          <w:sz w:val="24"/>
          <w:szCs w:val="24"/>
        </w:rPr>
        <w:t>25</w:t>
      </w:r>
      <w:r w:rsidRPr="00FB1537">
        <w:rPr>
          <w:rFonts w:ascii="Times New Roman" w:hAnsi="Times New Roman"/>
          <w:sz w:val="24"/>
          <w:szCs w:val="24"/>
        </w:rPr>
        <w:t xml:space="preserve"> of them have</w:t>
      </w:r>
      <w:r w:rsidRPr="00AC02A0">
        <w:rPr>
          <w:rFonts w:ascii="Times New Roman" w:hAnsi="Times New Roman"/>
          <w:sz w:val="24"/>
          <w:szCs w:val="24"/>
        </w:rPr>
        <w:t xml:space="preserve"> more y</w:t>
      </w:r>
      <w:r>
        <w:rPr>
          <w:rFonts w:ascii="Times New Roman" w:hAnsi="Times New Roman"/>
          <w:sz w:val="24"/>
          <w:szCs w:val="24"/>
        </w:rPr>
        <w:t>ears</w:t>
      </w:r>
      <w:r w:rsidRPr="00AC02A0">
        <w:rPr>
          <w:rFonts w:ascii="Times New Roman" w:hAnsi="Times New Roman"/>
          <w:sz w:val="24"/>
          <w:szCs w:val="24"/>
        </w:rPr>
        <w:t xml:space="preserve"> reported to the DAC database. </w:t>
      </w:r>
      <w:r>
        <w:rPr>
          <w:rFonts w:ascii="Times New Roman" w:hAnsi="Times New Roman"/>
          <w:sz w:val="24"/>
          <w:szCs w:val="24"/>
        </w:rPr>
        <w:t xml:space="preserve">For example, </w:t>
      </w:r>
      <w:r w:rsidRPr="00412DA2">
        <w:rPr>
          <w:rFonts w:ascii="Times New Roman" w:hAnsi="Times New Roman"/>
          <w:sz w:val="24"/>
          <w:szCs w:val="24"/>
        </w:rPr>
        <w:t>Czech Republic</w:t>
      </w:r>
      <w:r>
        <w:rPr>
          <w:rFonts w:ascii="Times New Roman" w:hAnsi="Times New Roman"/>
          <w:sz w:val="24"/>
          <w:szCs w:val="24"/>
        </w:rPr>
        <w:t xml:space="preserve"> had annual disbursement data between 2000 and 2014 in DAC but it only reported to CRS between 2011 and 2014 in CRS. </w:t>
      </w:r>
      <w:r>
        <w:rPr>
          <w:rFonts w:ascii="Times New Roman" w:eastAsia="Times New Roman" w:hAnsi="Times New Roman"/>
          <w:sz w:val="24"/>
          <w:szCs w:val="24"/>
        </w:rPr>
        <w:t xml:space="preserve">World Food </w:t>
      </w:r>
      <w:proofErr w:type="spellStart"/>
      <w:r>
        <w:rPr>
          <w:rFonts w:ascii="Times New Roman" w:eastAsia="Times New Roman" w:hAnsi="Times New Roman"/>
          <w:sz w:val="24"/>
          <w:szCs w:val="24"/>
        </w:rPr>
        <w:t>Programme</w:t>
      </w:r>
      <w:proofErr w:type="spellEnd"/>
      <w:r w:rsidRPr="00AC02A0">
        <w:rPr>
          <w:rFonts w:ascii="Times New Roman" w:eastAsia="Times New Roman" w:hAnsi="Times New Roman"/>
          <w:sz w:val="24"/>
          <w:szCs w:val="24"/>
        </w:rPr>
        <w:t xml:space="preserve"> </w:t>
      </w:r>
      <w:r>
        <w:rPr>
          <w:rFonts w:ascii="Times New Roman" w:hAnsi="Times New Roman"/>
          <w:sz w:val="24"/>
          <w:szCs w:val="24"/>
        </w:rPr>
        <w:t>has</w:t>
      </w:r>
      <w:r w:rsidRPr="00AC02A0">
        <w:rPr>
          <w:rFonts w:ascii="Times New Roman" w:hAnsi="Times New Roman"/>
          <w:sz w:val="24"/>
          <w:szCs w:val="24"/>
        </w:rPr>
        <w:t xml:space="preserve"> full </w:t>
      </w:r>
      <w:r>
        <w:rPr>
          <w:rFonts w:ascii="Times New Roman" w:hAnsi="Times New Roman"/>
          <w:sz w:val="24"/>
          <w:szCs w:val="24"/>
        </w:rPr>
        <w:t xml:space="preserve">range of </w:t>
      </w:r>
      <w:r w:rsidRPr="00AC02A0">
        <w:rPr>
          <w:rFonts w:ascii="Times New Roman" w:hAnsi="Times New Roman"/>
          <w:sz w:val="24"/>
          <w:szCs w:val="24"/>
        </w:rPr>
        <w:t xml:space="preserve">annual </w:t>
      </w:r>
      <w:r>
        <w:rPr>
          <w:rFonts w:ascii="Times New Roman" w:hAnsi="Times New Roman"/>
          <w:sz w:val="24"/>
          <w:szCs w:val="24"/>
        </w:rPr>
        <w:t xml:space="preserve">disbursements </w:t>
      </w:r>
      <w:r w:rsidRPr="00AC02A0">
        <w:rPr>
          <w:rFonts w:ascii="Times New Roman" w:hAnsi="Times New Roman"/>
          <w:sz w:val="24"/>
          <w:szCs w:val="24"/>
        </w:rPr>
        <w:t xml:space="preserve">data between </w:t>
      </w:r>
      <w:r>
        <w:rPr>
          <w:rFonts w:ascii="Times New Roman" w:hAnsi="Times New Roman"/>
          <w:sz w:val="24"/>
          <w:szCs w:val="24"/>
        </w:rPr>
        <w:t>2000 and</w:t>
      </w:r>
      <w:r w:rsidRPr="00AC02A0">
        <w:rPr>
          <w:rFonts w:ascii="Times New Roman" w:hAnsi="Times New Roman"/>
          <w:sz w:val="24"/>
          <w:szCs w:val="24"/>
        </w:rPr>
        <w:t xml:space="preserve"> 201</w:t>
      </w:r>
      <w:r>
        <w:rPr>
          <w:rFonts w:ascii="Times New Roman" w:hAnsi="Times New Roman"/>
          <w:sz w:val="24"/>
          <w:szCs w:val="24"/>
        </w:rPr>
        <w:t>4</w:t>
      </w:r>
      <w:r w:rsidRPr="006B54EB">
        <w:rPr>
          <w:rFonts w:ascii="Times New Roman" w:hAnsi="Times New Roman"/>
          <w:sz w:val="24"/>
          <w:szCs w:val="24"/>
        </w:rPr>
        <w:t xml:space="preserve"> </w:t>
      </w:r>
      <w:r>
        <w:rPr>
          <w:rFonts w:ascii="Times New Roman" w:hAnsi="Times New Roman"/>
          <w:sz w:val="24"/>
          <w:szCs w:val="24"/>
        </w:rPr>
        <w:t>in DAC but only reported to CRS between 2008 and 2014. Food and Agriculture Organization reported to CRS (in 2013) but not to DAC (</w:t>
      </w:r>
      <w:r w:rsidR="006C2917">
        <w:rPr>
          <w:rFonts w:ascii="Times New Roman" w:hAnsi="Times New Roman"/>
          <w:b/>
          <w:sz w:val="24"/>
          <w:szCs w:val="24"/>
        </w:rPr>
        <w:t>S4 T</w:t>
      </w:r>
      <w:r w:rsidRPr="00CA5B4F">
        <w:rPr>
          <w:rFonts w:ascii="Times New Roman" w:hAnsi="Times New Roman"/>
          <w:b/>
          <w:sz w:val="24"/>
          <w:szCs w:val="24"/>
        </w:rPr>
        <w:t>able</w:t>
      </w:r>
      <w:r>
        <w:rPr>
          <w:rFonts w:ascii="Times New Roman" w:hAnsi="Times New Roman"/>
          <w:sz w:val="24"/>
          <w:szCs w:val="24"/>
        </w:rPr>
        <w:t xml:space="preserve">). </w:t>
      </w:r>
    </w:p>
    <w:p w:rsidR="00B74517" w:rsidRDefault="00B74517" w:rsidP="00355895">
      <w:pPr>
        <w:rPr>
          <w:rFonts w:ascii="Times New Roman" w:hAnsi="Times New Roman" w:cs="Times New Roman"/>
          <w:b/>
          <w:sz w:val="24"/>
          <w:szCs w:val="24"/>
        </w:rPr>
      </w:pPr>
    </w:p>
    <w:p w:rsidR="00B74517" w:rsidRDefault="00B74517" w:rsidP="00355895">
      <w:pPr>
        <w:spacing w:line="240" w:lineRule="auto"/>
        <w:rPr>
          <w:rFonts w:ascii="Times New Roman" w:hAnsi="Times New Roman"/>
          <w:sz w:val="24"/>
          <w:szCs w:val="24"/>
        </w:rPr>
      </w:pPr>
    </w:p>
    <w:p w:rsidR="00C36686" w:rsidRPr="00CA5B4F" w:rsidRDefault="00B53172" w:rsidP="00B53172">
      <w:pPr>
        <w:spacing w:line="240" w:lineRule="auto"/>
        <w:rPr>
          <w:rFonts w:ascii="Times New Roman" w:hAnsi="Times New Roman"/>
          <w:sz w:val="24"/>
          <w:szCs w:val="24"/>
        </w:rPr>
      </w:pPr>
      <w:r>
        <w:rPr>
          <w:rFonts w:ascii="Times New Roman" w:hAnsi="Times New Roman"/>
          <w:sz w:val="24"/>
          <w:szCs w:val="24"/>
        </w:rPr>
        <w:t>Between 2000 and 2014, the proportion of missing component from source 1 increased from 2% in 2000 to 66% in 2014; proportion of source 2 increased from 11% in 2000 to 32% in 2008 and then decreased to 3% in 2014; proportion of source 3 (the largest source of missing before 2012) decreased from 88% in 2000 to about 30</w:t>
      </w:r>
      <w:r w:rsidRPr="00CA5B4F">
        <w:rPr>
          <w:rFonts w:ascii="Times New Roman" w:hAnsi="Times New Roman"/>
          <w:sz w:val="24"/>
          <w:szCs w:val="24"/>
        </w:rPr>
        <w:t>% in 2014 (</w:t>
      </w:r>
      <w:r w:rsidR="006C2917">
        <w:rPr>
          <w:rFonts w:ascii="Times New Roman" w:hAnsi="Times New Roman"/>
          <w:b/>
          <w:sz w:val="24"/>
          <w:szCs w:val="24"/>
        </w:rPr>
        <w:t>S5 F</w:t>
      </w:r>
      <w:r w:rsidRPr="00CA5B4F">
        <w:rPr>
          <w:rFonts w:ascii="Times New Roman" w:hAnsi="Times New Roman"/>
          <w:b/>
          <w:sz w:val="24"/>
          <w:szCs w:val="24"/>
        </w:rPr>
        <w:t>ig</w:t>
      </w:r>
      <w:r w:rsidR="006C2917">
        <w:rPr>
          <w:rFonts w:ascii="Times New Roman" w:hAnsi="Times New Roman"/>
          <w:b/>
          <w:sz w:val="24"/>
          <w:szCs w:val="24"/>
        </w:rPr>
        <w:t>.</w:t>
      </w:r>
      <w:r w:rsidRPr="00CA5B4F">
        <w:rPr>
          <w:rFonts w:ascii="Times New Roman" w:hAnsi="Times New Roman"/>
          <w:sz w:val="24"/>
          <w:szCs w:val="24"/>
        </w:rPr>
        <w:t xml:space="preserve">). </w:t>
      </w:r>
      <w:r>
        <w:rPr>
          <w:rFonts w:ascii="Times New Roman" w:hAnsi="Times New Roman"/>
          <w:sz w:val="24"/>
          <w:szCs w:val="24"/>
        </w:rPr>
        <w:t xml:space="preserve">As the completeness of data reporting from traditional donors has improved over time, emerging donors (such as Russia, etc.) has become the main source for data missing.   </w:t>
      </w:r>
    </w:p>
    <w:p w:rsidR="00B53172" w:rsidRPr="00E75EC4" w:rsidRDefault="00B53172" w:rsidP="00B53172">
      <w:pPr>
        <w:pStyle w:val="ListParagraph"/>
        <w:numPr>
          <w:ilvl w:val="0"/>
          <w:numId w:val="26"/>
        </w:numPr>
        <w:spacing w:line="240" w:lineRule="auto"/>
        <w:ind w:left="360"/>
        <w:rPr>
          <w:rFonts w:ascii="Times New Roman" w:hAnsi="Times New Roman"/>
          <w:sz w:val="24"/>
          <w:szCs w:val="24"/>
        </w:rPr>
      </w:pPr>
      <w:r w:rsidRPr="00E75EC4">
        <w:rPr>
          <w:rFonts w:ascii="Times New Roman" w:hAnsi="Times New Roman"/>
          <w:sz w:val="24"/>
          <w:szCs w:val="24"/>
        </w:rPr>
        <w:t>Addressing missing aid activity data in CRS in previous studies</w:t>
      </w:r>
    </w:p>
    <w:p w:rsidR="00B53172" w:rsidRPr="00AA123C" w:rsidRDefault="00B53172" w:rsidP="00B53172">
      <w:pPr>
        <w:autoSpaceDE w:val="0"/>
        <w:autoSpaceDN w:val="0"/>
        <w:adjustRightInd w:val="0"/>
        <w:spacing w:after="0" w:line="240" w:lineRule="auto"/>
        <w:rPr>
          <w:rFonts w:ascii="Times New Roman" w:eastAsia="ScalaLancetPro" w:hAnsi="Times New Roman"/>
          <w:sz w:val="24"/>
          <w:szCs w:val="24"/>
        </w:rPr>
      </w:pPr>
      <w:r w:rsidRPr="00AA123C">
        <w:rPr>
          <w:rFonts w:ascii="Times New Roman" w:hAnsi="Times New Roman"/>
          <w:sz w:val="24"/>
          <w:szCs w:val="24"/>
        </w:rPr>
        <w:t xml:space="preserve">There are three </w:t>
      </w:r>
      <w:r>
        <w:rPr>
          <w:rFonts w:ascii="Times New Roman" w:hAnsi="Times New Roman"/>
          <w:sz w:val="24"/>
          <w:szCs w:val="24"/>
        </w:rPr>
        <w:t>main approaches in dealing with</w:t>
      </w:r>
      <w:r w:rsidRPr="00AA123C">
        <w:rPr>
          <w:rFonts w:ascii="Times New Roman" w:hAnsi="Times New Roman"/>
          <w:sz w:val="24"/>
          <w:szCs w:val="24"/>
        </w:rPr>
        <w:t xml:space="preserve"> missing disbursements </w:t>
      </w:r>
      <w:r>
        <w:rPr>
          <w:rFonts w:ascii="Times New Roman" w:hAnsi="Times New Roman"/>
          <w:sz w:val="24"/>
          <w:szCs w:val="24"/>
        </w:rPr>
        <w:t>data in the CRS</w:t>
      </w:r>
      <w:r w:rsidRPr="00AA123C">
        <w:rPr>
          <w:rFonts w:ascii="Times New Roman" w:hAnsi="Times New Roman"/>
          <w:sz w:val="24"/>
          <w:szCs w:val="24"/>
        </w:rPr>
        <w:t>.</w:t>
      </w:r>
      <w:r>
        <w:rPr>
          <w:rFonts w:ascii="Times New Roman" w:hAnsi="Times New Roman"/>
          <w:sz w:val="24"/>
          <w:szCs w:val="24"/>
        </w:rPr>
        <w:t xml:space="preserve"> To avoid high level of missing disbursements between 2000 and 2002, the</w:t>
      </w:r>
      <w:r w:rsidRPr="00AA123C">
        <w:rPr>
          <w:rFonts w:ascii="Times New Roman" w:hAnsi="Times New Roman"/>
          <w:sz w:val="24"/>
          <w:szCs w:val="24"/>
        </w:rPr>
        <w:t xml:space="preserve"> </w:t>
      </w:r>
      <w:r>
        <w:rPr>
          <w:rFonts w:ascii="Times New Roman" w:hAnsi="Times New Roman"/>
          <w:sz w:val="24"/>
          <w:szCs w:val="24"/>
        </w:rPr>
        <w:t>Countdown group conducted estimation since 2003. In their 2008 study (covering 2003 to 2006 period), they</w:t>
      </w:r>
      <w:r w:rsidRPr="00AA123C">
        <w:rPr>
          <w:rFonts w:ascii="Times New Roman" w:hAnsi="Times New Roman"/>
          <w:sz w:val="24"/>
          <w:szCs w:val="24"/>
        </w:rPr>
        <w:t xml:space="preserve"> “corrected for missing data over the 4 years by dropping those donors that did not report so as to ensure that trends were comparable and were not affected by changes in reporting status.”</w:t>
      </w:r>
      <w:r w:rsidR="004A198E">
        <w:rPr>
          <w:rFonts w:ascii="Times New Roman" w:hAnsi="Times New Roman"/>
          <w:sz w:val="24"/>
          <w:szCs w:val="24"/>
          <w:vertAlign w:val="superscript"/>
        </w:rPr>
        <w:t>3</w:t>
      </w:r>
      <w:r>
        <w:rPr>
          <w:rFonts w:ascii="Times New Roman" w:hAnsi="Times New Roman"/>
          <w:sz w:val="24"/>
          <w:szCs w:val="24"/>
          <w:vertAlign w:val="superscript"/>
        </w:rPr>
        <w:t xml:space="preserve"> </w:t>
      </w:r>
      <w:r>
        <w:rPr>
          <w:rFonts w:ascii="Times New Roman" w:eastAsia="ScalaLancetPro" w:hAnsi="Times New Roman"/>
          <w:sz w:val="24"/>
          <w:szCs w:val="24"/>
        </w:rPr>
        <w:t>Our calculation showed that the missing rate in 2003 and 2004 were 18% and 17% (</w:t>
      </w:r>
      <w:r w:rsidR="006C2917">
        <w:rPr>
          <w:rFonts w:ascii="Times New Roman" w:eastAsia="ScalaLancetPro" w:hAnsi="Times New Roman"/>
          <w:b/>
          <w:sz w:val="24"/>
          <w:szCs w:val="24"/>
        </w:rPr>
        <w:t>S1. F</w:t>
      </w:r>
      <w:r w:rsidRPr="0076081A">
        <w:rPr>
          <w:rFonts w:ascii="Times New Roman" w:eastAsia="ScalaLancetPro" w:hAnsi="Times New Roman"/>
          <w:b/>
          <w:sz w:val="24"/>
          <w:szCs w:val="24"/>
        </w:rPr>
        <w:t>ig</w:t>
      </w:r>
      <w:r w:rsidR="006C2917">
        <w:rPr>
          <w:rFonts w:ascii="Times New Roman" w:eastAsia="ScalaLancetPro" w:hAnsi="Times New Roman"/>
          <w:b/>
          <w:sz w:val="24"/>
          <w:szCs w:val="24"/>
        </w:rPr>
        <w:t>.),</w:t>
      </w:r>
      <w:r w:rsidR="006C2917">
        <w:rPr>
          <w:rFonts w:ascii="Times New Roman" w:eastAsia="ScalaLancetPro" w:hAnsi="Times New Roman"/>
          <w:sz w:val="24"/>
          <w:szCs w:val="24"/>
        </w:rPr>
        <w:t xml:space="preserve"> </w:t>
      </w:r>
      <w:r>
        <w:rPr>
          <w:rFonts w:ascii="Times New Roman" w:eastAsia="ScalaLancetPro" w:hAnsi="Times New Roman"/>
          <w:sz w:val="24"/>
          <w:szCs w:val="24"/>
        </w:rPr>
        <w:t>respectively. About 40% and 45% of projects reported by the United State</w:t>
      </w:r>
      <w:r w:rsidR="002B0A84">
        <w:rPr>
          <w:rFonts w:ascii="Times New Roman" w:eastAsia="ScalaLancetPro" w:hAnsi="Times New Roman"/>
          <w:sz w:val="24"/>
          <w:szCs w:val="24"/>
        </w:rPr>
        <w:t>s</w:t>
      </w:r>
      <w:r>
        <w:rPr>
          <w:rFonts w:ascii="Times New Roman" w:eastAsia="ScalaLancetPro" w:hAnsi="Times New Roman"/>
          <w:sz w:val="24"/>
          <w:szCs w:val="24"/>
        </w:rPr>
        <w:t xml:space="preserve"> (the largest bilateral donor) had missing disbursements in </w:t>
      </w:r>
      <w:r w:rsidR="000550E1">
        <w:rPr>
          <w:rFonts w:ascii="Times New Roman" w:eastAsia="ScalaLancetPro" w:hAnsi="Times New Roman"/>
          <w:sz w:val="24"/>
          <w:szCs w:val="24"/>
        </w:rPr>
        <w:t xml:space="preserve">the </w:t>
      </w:r>
      <w:r>
        <w:rPr>
          <w:rFonts w:ascii="Times New Roman" w:eastAsia="ScalaLancetPro" w:hAnsi="Times New Roman"/>
          <w:sz w:val="24"/>
          <w:szCs w:val="24"/>
        </w:rPr>
        <w:t>health sector in these two years. The estimates produced by the Countdown in these years could be substantially underestimated by its definition.</w:t>
      </w:r>
    </w:p>
    <w:p w:rsidR="00B53172" w:rsidRDefault="00B53172" w:rsidP="00B53172">
      <w:pPr>
        <w:autoSpaceDE w:val="0"/>
        <w:autoSpaceDN w:val="0"/>
        <w:adjustRightInd w:val="0"/>
        <w:spacing w:after="0" w:line="240" w:lineRule="auto"/>
        <w:rPr>
          <w:rFonts w:ascii="ScalaLancetPro" w:eastAsia="ScalaLancetPro" w:cs="ScalaLancetPro"/>
          <w:sz w:val="18"/>
          <w:szCs w:val="18"/>
        </w:rPr>
      </w:pPr>
    </w:p>
    <w:p w:rsidR="00B53172" w:rsidRPr="00FB24E7" w:rsidRDefault="00B53172" w:rsidP="00B53172">
      <w:pPr>
        <w:autoSpaceDE w:val="0"/>
        <w:autoSpaceDN w:val="0"/>
        <w:adjustRightInd w:val="0"/>
        <w:spacing w:after="0" w:line="240" w:lineRule="auto"/>
        <w:rPr>
          <w:rFonts w:ascii="ScalaLancetPro" w:hAnsi="ScalaLancetPro" w:cs="ScalaLancetPro"/>
          <w:sz w:val="18"/>
          <w:szCs w:val="18"/>
        </w:rPr>
      </w:pPr>
      <w:r>
        <w:rPr>
          <w:rFonts w:ascii="Times New Roman" w:hAnsi="Times New Roman"/>
          <w:sz w:val="24"/>
          <w:szCs w:val="24"/>
        </w:rPr>
        <w:t xml:space="preserve">The study by </w:t>
      </w:r>
      <w:proofErr w:type="spellStart"/>
      <w:r w:rsidRPr="009F05D3">
        <w:rPr>
          <w:rFonts w:ascii="Times New Roman" w:hAnsi="Times New Roman"/>
          <w:sz w:val="24"/>
          <w:szCs w:val="24"/>
        </w:rPr>
        <w:t>Ravishankar</w:t>
      </w:r>
      <w:proofErr w:type="spellEnd"/>
      <w:r>
        <w:rPr>
          <w:rFonts w:ascii="Times New Roman" w:hAnsi="Times New Roman"/>
          <w:sz w:val="24"/>
          <w:szCs w:val="24"/>
        </w:rPr>
        <w:t xml:space="preserve"> et al</w:t>
      </w:r>
      <w:r w:rsidR="004A198E">
        <w:rPr>
          <w:rFonts w:ascii="Times New Roman" w:hAnsi="Times New Roman"/>
          <w:sz w:val="24"/>
          <w:szCs w:val="24"/>
          <w:vertAlign w:val="superscript"/>
        </w:rPr>
        <w:t>4</w:t>
      </w:r>
      <w:r>
        <w:rPr>
          <w:rFonts w:ascii="Times New Roman" w:hAnsi="Times New Roman"/>
          <w:sz w:val="24"/>
          <w:szCs w:val="24"/>
        </w:rPr>
        <w:t xml:space="preserve"> imputed a donor’s yearly missing disbursements by using its </w:t>
      </w:r>
      <w:r w:rsidRPr="00355895">
        <w:rPr>
          <w:rFonts w:ascii="Times New Roman" w:hAnsi="Times New Roman"/>
          <w:sz w:val="24"/>
          <w:szCs w:val="24"/>
        </w:rPr>
        <w:t>commitment data and a 6-year project-level average disbursement schedule - constructed from a</w:t>
      </w:r>
      <w:r>
        <w:rPr>
          <w:rFonts w:ascii="Times New Roman" w:hAnsi="Times New Roman"/>
          <w:sz w:val="24"/>
          <w:szCs w:val="24"/>
        </w:rPr>
        <w:t xml:space="preserve"> donor’s existing project-level disbursements and commitments by assuming that every project lasted for 6 years and a donor applied the same disbursement schedule to all recipients. While actual projects may be shorter or longer than 6 years, </w:t>
      </w:r>
      <w:r w:rsidR="000550E1">
        <w:rPr>
          <w:rFonts w:ascii="Times New Roman" w:hAnsi="Times New Roman"/>
          <w:sz w:val="24"/>
          <w:szCs w:val="24"/>
        </w:rPr>
        <w:t xml:space="preserve">taking </w:t>
      </w:r>
      <w:r>
        <w:rPr>
          <w:rFonts w:ascii="Times New Roman" w:hAnsi="Times New Roman"/>
          <w:sz w:val="24"/>
          <w:szCs w:val="24"/>
        </w:rPr>
        <w:t>no consideration o</w:t>
      </w:r>
      <w:r w:rsidR="000550E1">
        <w:rPr>
          <w:rFonts w:ascii="Times New Roman" w:hAnsi="Times New Roman"/>
          <w:sz w:val="24"/>
          <w:szCs w:val="24"/>
        </w:rPr>
        <w:t>f</w:t>
      </w:r>
      <w:r>
        <w:rPr>
          <w:rFonts w:ascii="Times New Roman" w:hAnsi="Times New Roman"/>
          <w:sz w:val="24"/>
          <w:szCs w:val="24"/>
        </w:rPr>
        <w:t xml:space="preserve"> heterogeneity of </w:t>
      </w:r>
      <w:r w:rsidR="000550E1">
        <w:rPr>
          <w:rFonts w:ascii="Times New Roman" w:hAnsi="Times New Roman"/>
          <w:sz w:val="24"/>
          <w:szCs w:val="24"/>
        </w:rPr>
        <w:t xml:space="preserve">the </w:t>
      </w:r>
      <w:r>
        <w:rPr>
          <w:rFonts w:ascii="Times New Roman" w:hAnsi="Times New Roman"/>
          <w:sz w:val="24"/>
          <w:szCs w:val="24"/>
        </w:rPr>
        <w:t>disbursement schedule across recipients could disturb aid estimates at the recipient level. We used the CRS data for the United State</w:t>
      </w:r>
      <w:r w:rsidR="002B0A84">
        <w:rPr>
          <w:rFonts w:ascii="Times New Roman" w:hAnsi="Times New Roman"/>
          <w:sz w:val="24"/>
          <w:szCs w:val="24"/>
        </w:rPr>
        <w:t>s</w:t>
      </w:r>
      <w:r>
        <w:rPr>
          <w:rFonts w:ascii="Times New Roman" w:hAnsi="Times New Roman"/>
          <w:sz w:val="24"/>
          <w:szCs w:val="24"/>
        </w:rPr>
        <w:t xml:space="preserve"> in 2011 (the year with the lowest missing rate), and calculated the ratio of disbursements to commitments by recipient countries in health se</w:t>
      </w:r>
      <w:r w:rsidR="00FB1537">
        <w:rPr>
          <w:rFonts w:ascii="Times New Roman" w:hAnsi="Times New Roman"/>
          <w:sz w:val="24"/>
          <w:szCs w:val="24"/>
        </w:rPr>
        <w:t>ctor. The ratio ranged from 0</w:t>
      </w:r>
      <w:r w:rsidR="00FB1537" w:rsidRPr="00FB1537">
        <w:rPr>
          <w:rFonts w:ascii="Times New Roman" w:hAnsi="Times New Roman"/>
          <w:sz w:val="24"/>
          <w:szCs w:val="24"/>
        </w:rPr>
        <w:t xml:space="preserve"> </w:t>
      </w:r>
      <w:r w:rsidR="00FB1537">
        <w:rPr>
          <w:rFonts w:ascii="Times New Roman" w:hAnsi="Times New Roman"/>
          <w:sz w:val="24"/>
          <w:szCs w:val="24"/>
        </w:rPr>
        <w:t xml:space="preserve">to 4·33 and has median 0·83 </w:t>
      </w:r>
      <w:r w:rsidRPr="00BE608C">
        <w:rPr>
          <w:rFonts w:ascii="Times New Roman" w:hAnsi="Times New Roman"/>
          <w:sz w:val="24"/>
          <w:szCs w:val="24"/>
        </w:rPr>
        <w:t>and</w:t>
      </w:r>
      <w:r>
        <w:rPr>
          <w:rFonts w:ascii="Times New Roman" w:hAnsi="Times New Roman"/>
          <w:sz w:val="24"/>
          <w:szCs w:val="24"/>
        </w:rPr>
        <w:t xml:space="preserve"> inter-quartile range between 62% and 1, suggesting a large variation in disbursement schedule at the recipient level.  </w:t>
      </w:r>
    </w:p>
    <w:p w:rsidR="00B53172" w:rsidRDefault="00B53172" w:rsidP="00B53172">
      <w:pPr>
        <w:autoSpaceDE w:val="0"/>
        <w:autoSpaceDN w:val="0"/>
        <w:adjustRightInd w:val="0"/>
        <w:spacing w:after="0" w:line="240" w:lineRule="auto"/>
        <w:rPr>
          <w:rFonts w:ascii="Times New Roman" w:hAnsi="Times New Roman"/>
          <w:sz w:val="24"/>
          <w:szCs w:val="24"/>
        </w:rPr>
      </w:pPr>
    </w:p>
    <w:p w:rsidR="00FB1537" w:rsidRDefault="00B53172" w:rsidP="00FB1537">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The Van de </w:t>
      </w:r>
      <w:proofErr w:type="spellStart"/>
      <w:r>
        <w:rPr>
          <w:rFonts w:ascii="Times New Roman" w:hAnsi="Times New Roman"/>
          <w:sz w:val="24"/>
          <w:szCs w:val="24"/>
        </w:rPr>
        <w:t>Sijpe’s</w:t>
      </w:r>
      <w:proofErr w:type="spellEnd"/>
      <w:r>
        <w:rPr>
          <w:rFonts w:ascii="Times New Roman" w:hAnsi="Times New Roman"/>
          <w:sz w:val="24"/>
          <w:szCs w:val="24"/>
        </w:rPr>
        <w:t xml:space="preserve"> method</w:t>
      </w:r>
      <w:r w:rsidR="004A198E">
        <w:rPr>
          <w:rFonts w:ascii="Times New Roman" w:hAnsi="Times New Roman"/>
          <w:sz w:val="24"/>
          <w:szCs w:val="24"/>
          <w:vertAlign w:val="superscript"/>
        </w:rPr>
        <w:t>5</w:t>
      </w:r>
      <w:r>
        <w:rPr>
          <w:rFonts w:ascii="Times New Roman" w:hAnsi="Times New Roman"/>
          <w:sz w:val="24"/>
          <w:szCs w:val="24"/>
        </w:rPr>
        <w:t xml:space="preserve"> adopted a new perspective and imputed missing data in the CRS using </w:t>
      </w:r>
      <w:r w:rsidRPr="009B2F9C">
        <w:rPr>
          <w:rFonts w:ascii="Times New Roman" w:hAnsi="Times New Roman"/>
          <w:sz w:val="24"/>
          <w:szCs w:val="24"/>
        </w:rPr>
        <w:t xml:space="preserve">information from </w:t>
      </w:r>
      <w:r>
        <w:rPr>
          <w:rFonts w:ascii="Times New Roman" w:hAnsi="Times New Roman"/>
          <w:sz w:val="24"/>
          <w:szCs w:val="24"/>
        </w:rPr>
        <w:t>DAC2. The study calculated the difference in disbursements data between DAC2 and CRS at the donor, recipient, and year level (</w:t>
      </w:r>
      <w:proofErr w:type="spellStart"/>
      <w:r>
        <w:rPr>
          <w:rFonts w:ascii="Times New Roman" w:hAnsi="Times New Roman"/>
          <w:sz w:val="24"/>
          <w:szCs w:val="24"/>
        </w:rPr>
        <w:t>DIF</w:t>
      </w:r>
      <w:r>
        <w:rPr>
          <w:rFonts w:ascii="Times New Roman" w:hAnsi="Times New Roman"/>
          <w:sz w:val="24"/>
          <w:szCs w:val="24"/>
          <w:vertAlign w:val="subscript"/>
        </w:rPr>
        <w:t>dry</w:t>
      </w:r>
      <w:proofErr w:type="spellEnd"/>
      <w:r>
        <w:rPr>
          <w:rFonts w:ascii="Times New Roman" w:hAnsi="Times New Roman"/>
          <w:sz w:val="24"/>
          <w:szCs w:val="24"/>
        </w:rPr>
        <w:t xml:space="preserve">) and imputed the </w:t>
      </w:r>
      <w:proofErr w:type="spellStart"/>
      <w:r>
        <w:rPr>
          <w:rFonts w:ascii="Times New Roman" w:hAnsi="Times New Roman"/>
          <w:sz w:val="24"/>
          <w:szCs w:val="24"/>
        </w:rPr>
        <w:t>DIF</w:t>
      </w:r>
      <w:r>
        <w:rPr>
          <w:rFonts w:ascii="Times New Roman" w:hAnsi="Times New Roman"/>
          <w:sz w:val="24"/>
          <w:szCs w:val="24"/>
          <w:vertAlign w:val="subscript"/>
        </w:rPr>
        <w:t>dry</w:t>
      </w:r>
      <w:proofErr w:type="spellEnd"/>
      <w:r>
        <w:rPr>
          <w:rFonts w:ascii="Times New Roman" w:hAnsi="Times New Roman"/>
          <w:sz w:val="24"/>
          <w:szCs w:val="24"/>
        </w:rPr>
        <w:t xml:space="preserve"> at the </w:t>
      </w:r>
      <w:proofErr w:type="spellStart"/>
      <w:r>
        <w:rPr>
          <w:rFonts w:ascii="Times New Roman" w:hAnsi="Times New Roman"/>
          <w:sz w:val="24"/>
          <w:szCs w:val="24"/>
        </w:rPr>
        <w:t>sectoral</w:t>
      </w:r>
      <w:proofErr w:type="spellEnd"/>
      <w:r>
        <w:rPr>
          <w:rFonts w:ascii="Times New Roman" w:hAnsi="Times New Roman"/>
          <w:sz w:val="24"/>
          <w:szCs w:val="24"/>
        </w:rPr>
        <w:t xml:space="preserve"> level for adding back to the </w:t>
      </w:r>
      <w:proofErr w:type="spellStart"/>
      <w:r>
        <w:rPr>
          <w:rFonts w:ascii="Times New Roman" w:hAnsi="Times New Roman"/>
          <w:sz w:val="24"/>
          <w:szCs w:val="24"/>
        </w:rPr>
        <w:t>CRS</w:t>
      </w:r>
      <w:r>
        <w:rPr>
          <w:rFonts w:ascii="Times New Roman" w:hAnsi="Times New Roman"/>
          <w:sz w:val="24"/>
          <w:szCs w:val="24"/>
          <w:vertAlign w:val="subscript"/>
        </w:rPr>
        <w:t>dry</w:t>
      </w:r>
      <w:proofErr w:type="spellEnd"/>
      <w:r>
        <w:rPr>
          <w:rFonts w:ascii="Times New Roman" w:hAnsi="Times New Roman"/>
          <w:sz w:val="24"/>
          <w:szCs w:val="24"/>
        </w:rPr>
        <w:t xml:space="preserve"> at the </w:t>
      </w:r>
      <w:proofErr w:type="spellStart"/>
      <w:r>
        <w:rPr>
          <w:rFonts w:ascii="Times New Roman" w:hAnsi="Times New Roman"/>
          <w:sz w:val="24"/>
          <w:szCs w:val="24"/>
        </w:rPr>
        <w:t>sectoral</w:t>
      </w:r>
      <w:proofErr w:type="spellEnd"/>
      <w:r>
        <w:rPr>
          <w:rFonts w:ascii="Times New Roman" w:hAnsi="Times New Roman"/>
          <w:sz w:val="24"/>
          <w:szCs w:val="24"/>
        </w:rPr>
        <w:t xml:space="preserve"> level. Van de </w:t>
      </w:r>
      <w:proofErr w:type="spellStart"/>
      <w:r>
        <w:rPr>
          <w:rFonts w:ascii="Times New Roman" w:hAnsi="Times New Roman"/>
          <w:sz w:val="24"/>
          <w:szCs w:val="24"/>
        </w:rPr>
        <w:t>Sijpe’s</w:t>
      </w:r>
      <w:proofErr w:type="spellEnd"/>
      <w:r>
        <w:rPr>
          <w:rFonts w:ascii="Times New Roman" w:hAnsi="Times New Roman"/>
          <w:sz w:val="24"/>
          <w:szCs w:val="24"/>
        </w:rPr>
        <w:t xml:space="preserve"> study used DAC5 which has breakdowns of commitments (or disbursements if commitments are not available) at the donor, year, and sectoral level, but not at recipient level. The study constructed the sector share from DAC5 for each donor and year and multiplied the share to </w:t>
      </w:r>
      <w:proofErr w:type="spellStart"/>
      <w:r>
        <w:rPr>
          <w:rFonts w:ascii="Times New Roman" w:hAnsi="Times New Roman"/>
          <w:sz w:val="24"/>
          <w:szCs w:val="24"/>
        </w:rPr>
        <w:t>DIF</w:t>
      </w:r>
      <w:r>
        <w:rPr>
          <w:rFonts w:ascii="Times New Roman" w:hAnsi="Times New Roman"/>
          <w:sz w:val="24"/>
          <w:szCs w:val="24"/>
          <w:vertAlign w:val="subscript"/>
        </w:rPr>
        <w:t>dry</w:t>
      </w:r>
      <w:proofErr w:type="spellEnd"/>
      <w:r>
        <w:rPr>
          <w:rFonts w:ascii="Times New Roman" w:hAnsi="Times New Roman"/>
          <w:sz w:val="24"/>
          <w:szCs w:val="24"/>
        </w:rPr>
        <w:t xml:space="preserve"> for obtaining </w:t>
      </w:r>
      <w:proofErr w:type="spellStart"/>
      <w:r>
        <w:rPr>
          <w:rFonts w:ascii="Times New Roman" w:hAnsi="Times New Roman"/>
          <w:sz w:val="24"/>
          <w:szCs w:val="24"/>
        </w:rPr>
        <w:t>DIF</w:t>
      </w:r>
      <w:r>
        <w:rPr>
          <w:rFonts w:ascii="Times New Roman" w:hAnsi="Times New Roman"/>
          <w:sz w:val="24"/>
          <w:szCs w:val="24"/>
          <w:vertAlign w:val="subscript"/>
        </w:rPr>
        <w:t>dry</w:t>
      </w:r>
      <w:proofErr w:type="spellEnd"/>
      <w:r>
        <w:rPr>
          <w:rFonts w:ascii="Times New Roman" w:hAnsi="Times New Roman"/>
          <w:sz w:val="24"/>
          <w:szCs w:val="24"/>
        </w:rPr>
        <w:t xml:space="preserve"> in each sector. The study assumed that a donor in a specific year disbursed the same share of its funds to a specific sector across all recipient countries. We used the CRS’ disbursements data from the United States in 2011 and calculated its share for disbursements in </w:t>
      </w:r>
      <w:r w:rsidR="00FB1537">
        <w:rPr>
          <w:rFonts w:ascii="Times New Roman" w:hAnsi="Times New Roman"/>
          <w:sz w:val="24"/>
          <w:szCs w:val="24"/>
        </w:rPr>
        <w:t xml:space="preserve">health sector across 134 recipients: the health sector share is between 0 and 1 with median 0·17 and inter-quartile range between 0·03 and 0·37, suggesting a large variation in sectoral share across recipients for a donor in a year. </w:t>
      </w:r>
    </w:p>
    <w:p w:rsidR="00B53172" w:rsidRPr="00C913AC" w:rsidRDefault="00B53172" w:rsidP="00B53172">
      <w:pPr>
        <w:autoSpaceDE w:val="0"/>
        <w:autoSpaceDN w:val="0"/>
        <w:adjustRightInd w:val="0"/>
        <w:spacing w:after="0" w:line="240" w:lineRule="auto"/>
        <w:contextualSpacing/>
        <w:rPr>
          <w:rFonts w:ascii="Times New Roman" w:hAnsi="Times New Roman"/>
          <w:sz w:val="24"/>
          <w:szCs w:val="24"/>
        </w:rPr>
      </w:pPr>
    </w:p>
    <w:p w:rsidR="00B53172" w:rsidRPr="00E75EC4" w:rsidRDefault="00B53172" w:rsidP="00B53172">
      <w:pPr>
        <w:pStyle w:val="ListParagraph"/>
        <w:numPr>
          <w:ilvl w:val="0"/>
          <w:numId w:val="26"/>
        </w:numPr>
        <w:spacing w:line="240" w:lineRule="auto"/>
        <w:ind w:left="360"/>
        <w:rPr>
          <w:rFonts w:ascii="Times New Roman" w:hAnsi="Times New Roman"/>
          <w:sz w:val="24"/>
          <w:szCs w:val="24"/>
        </w:rPr>
      </w:pPr>
      <w:r w:rsidRPr="00E75EC4">
        <w:rPr>
          <w:rFonts w:ascii="Times New Roman" w:hAnsi="Times New Roman"/>
          <w:sz w:val="24"/>
          <w:szCs w:val="24"/>
        </w:rPr>
        <w:t>Imputing mis</w:t>
      </w:r>
      <w:r>
        <w:rPr>
          <w:rFonts w:ascii="Times New Roman" w:hAnsi="Times New Roman"/>
          <w:sz w:val="24"/>
          <w:szCs w:val="24"/>
        </w:rPr>
        <w:t>sing disbursements</w:t>
      </w:r>
      <w:r w:rsidRPr="00E75EC4">
        <w:rPr>
          <w:rFonts w:ascii="Times New Roman" w:hAnsi="Times New Roman"/>
          <w:sz w:val="24"/>
          <w:szCs w:val="24"/>
        </w:rPr>
        <w:t xml:space="preserve"> data</w:t>
      </w:r>
      <w:r>
        <w:rPr>
          <w:rFonts w:ascii="Times New Roman" w:hAnsi="Times New Roman"/>
          <w:sz w:val="24"/>
          <w:szCs w:val="24"/>
        </w:rPr>
        <w:t xml:space="preserve"> in the CRS</w:t>
      </w:r>
    </w:p>
    <w:p w:rsidR="00355895" w:rsidRDefault="00B53172" w:rsidP="00B53172">
      <w:pPr>
        <w:spacing w:line="240" w:lineRule="auto"/>
        <w:rPr>
          <w:rFonts w:ascii="Times New Roman" w:hAnsi="Times New Roman"/>
          <w:sz w:val="24"/>
          <w:szCs w:val="24"/>
        </w:rPr>
      </w:pPr>
      <w:r>
        <w:rPr>
          <w:rFonts w:ascii="Times New Roman" w:hAnsi="Times New Roman"/>
          <w:sz w:val="24"/>
          <w:szCs w:val="24"/>
        </w:rPr>
        <w:t>Using donor information to estimate the missing disbursements may not distort global</w:t>
      </w:r>
      <w:r w:rsidR="000550E1">
        <w:rPr>
          <w:rFonts w:ascii="Times New Roman" w:hAnsi="Times New Roman"/>
          <w:sz w:val="24"/>
          <w:szCs w:val="24"/>
        </w:rPr>
        <w:t>-</w:t>
      </w:r>
      <w:r>
        <w:rPr>
          <w:rFonts w:ascii="Times New Roman" w:hAnsi="Times New Roman"/>
          <w:sz w:val="24"/>
          <w:szCs w:val="24"/>
        </w:rPr>
        <w:t xml:space="preserve"> or regional</w:t>
      </w:r>
      <w:r w:rsidR="000550E1">
        <w:rPr>
          <w:rFonts w:ascii="Times New Roman" w:hAnsi="Times New Roman"/>
          <w:sz w:val="24"/>
          <w:szCs w:val="24"/>
        </w:rPr>
        <w:t>-</w:t>
      </w:r>
      <w:r>
        <w:rPr>
          <w:rFonts w:ascii="Times New Roman" w:hAnsi="Times New Roman"/>
          <w:sz w:val="24"/>
          <w:szCs w:val="24"/>
        </w:rPr>
        <w:t>level</w:t>
      </w:r>
      <w:r w:rsidR="000550E1">
        <w:rPr>
          <w:rFonts w:ascii="Times New Roman" w:hAnsi="Times New Roman"/>
          <w:sz w:val="24"/>
          <w:szCs w:val="24"/>
        </w:rPr>
        <w:t>s</w:t>
      </w:r>
      <w:r>
        <w:rPr>
          <w:rFonts w:ascii="Times New Roman" w:hAnsi="Times New Roman"/>
          <w:sz w:val="24"/>
          <w:szCs w:val="24"/>
        </w:rPr>
        <w:t xml:space="preserve"> of estimates. As our focus is on country-level </w:t>
      </w:r>
      <w:r w:rsidRPr="00E6248D">
        <w:rPr>
          <w:rFonts w:ascii="Times New Roman" w:hAnsi="Times New Roman"/>
          <w:sz w:val="24"/>
          <w:szCs w:val="24"/>
        </w:rPr>
        <w:t>estima</w:t>
      </w:r>
      <w:r>
        <w:rPr>
          <w:rFonts w:ascii="Times New Roman" w:hAnsi="Times New Roman"/>
          <w:sz w:val="24"/>
          <w:szCs w:val="24"/>
        </w:rPr>
        <w:t>tes of disbursements for child survival,</w:t>
      </w:r>
      <w:r w:rsidR="000550E1">
        <w:rPr>
          <w:rFonts w:ascii="Times New Roman" w:hAnsi="Times New Roman"/>
          <w:sz w:val="24"/>
          <w:szCs w:val="24"/>
        </w:rPr>
        <w:t xml:space="preserve"> it is necessary to take</w:t>
      </w:r>
      <w:r>
        <w:rPr>
          <w:rFonts w:ascii="Times New Roman" w:hAnsi="Times New Roman"/>
          <w:sz w:val="24"/>
          <w:szCs w:val="24"/>
        </w:rPr>
        <w:t xml:space="preserve"> into consideration recipients’ information in</w:t>
      </w:r>
      <w:r w:rsidR="000550E1">
        <w:rPr>
          <w:rFonts w:ascii="Times New Roman" w:hAnsi="Times New Roman"/>
          <w:sz w:val="24"/>
          <w:szCs w:val="24"/>
        </w:rPr>
        <w:t xml:space="preserve"> the</w:t>
      </w:r>
      <w:r>
        <w:rPr>
          <w:rFonts w:ascii="Times New Roman" w:hAnsi="Times New Roman"/>
          <w:sz w:val="24"/>
          <w:szCs w:val="24"/>
        </w:rPr>
        <w:t xml:space="preserve"> estimation. We followed the perspective of the Van de </w:t>
      </w:r>
      <w:proofErr w:type="spellStart"/>
      <w:r>
        <w:rPr>
          <w:rFonts w:ascii="Times New Roman" w:hAnsi="Times New Roman"/>
          <w:sz w:val="24"/>
          <w:szCs w:val="24"/>
        </w:rPr>
        <w:t>Sijpe’s</w:t>
      </w:r>
      <w:proofErr w:type="spellEnd"/>
      <w:r>
        <w:rPr>
          <w:rFonts w:ascii="Times New Roman" w:hAnsi="Times New Roman"/>
          <w:sz w:val="24"/>
          <w:szCs w:val="24"/>
        </w:rPr>
        <w:t xml:space="preserve"> study, but using both donor and</w:t>
      </w:r>
      <w:r w:rsidRPr="00E6248D">
        <w:rPr>
          <w:rFonts w:ascii="Times New Roman" w:hAnsi="Times New Roman"/>
          <w:sz w:val="24"/>
          <w:szCs w:val="24"/>
        </w:rPr>
        <w:t xml:space="preserve"> recipient’s information</w:t>
      </w:r>
      <w:r>
        <w:rPr>
          <w:rFonts w:ascii="Times New Roman" w:hAnsi="Times New Roman"/>
          <w:sz w:val="24"/>
          <w:szCs w:val="24"/>
        </w:rPr>
        <w:t xml:space="preserve"> (whenever it is available) in estimation for the three missing sources, as described in Box1. </w:t>
      </w:r>
    </w:p>
    <w:tbl>
      <w:tblPr>
        <w:tblStyle w:val="TableGrid"/>
        <w:tblW w:w="0" w:type="auto"/>
        <w:tblLook w:val="04A0"/>
      </w:tblPr>
      <w:tblGrid>
        <w:gridCol w:w="9576"/>
      </w:tblGrid>
      <w:tr w:rsidR="00B53172" w:rsidRPr="00C36686" w:rsidTr="00506E27">
        <w:tc>
          <w:tcPr>
            <w:tcW w:w="9576" w:type="dxa"/>
          </w:tcPr>
          <w:p w:rsidR="00B53172" w:rsidRPr="00C36686" w:rsidRDefault="00B53172" w:rsidP="00506E27">
            <w:pPr>
              <w:pStyle w:val="ListParagraph"/>
              <w:ind w:left="0"/>
              <w:rPr>
                <w:rFonts w:ascii="Times New Roman" w:hAnsi="Times New Roman" w:cs="Times New Roman"/>
                <w:b/>
                <w:sz w:val="24"/>
                <w:szCs w:val="24"/>
              </w:rPr>
            </w:pPr>
            <w:r w:rsidRPr="00C36686">
              <w:rPr>
                <w:rFonts w:ascii="Times New Roman" w:hAnsi="Times New Roman" w:cs="Times New Roman"/>
                <w:b/>
                <w:sz w:val="24"/>
                <w:szCs w:val="24"/>
              </w:rPr>
              <w:t>Box1 Imputing missing disbursements data in the CRS</w:t>
            </w:r>
          </w:p>
          <w:p w:rsidR="00B53172" w:rsidRPr="00C36686" w:rsidRDefault="00B53172" w:rsidP="00506E27">
            <w:pPr>
              <w:pStyle w:val="ListParagraph"/>
              <w:ind w:left="0"/>
              <w:rPr>
                <w:rFonts w:ascii="Times New Roman" w:hAnsi="Times New Roman" w:cs="Times New Roman"/>
                <w:sz w:val="24"/>
                <w:szCs w:val="24"/>
              </w:rPr>
            </w:pPr>
            <w:r w:rsidRPr="00C36686">
              <w:rPr>
                <w:rFonts w:ascii="Times New Roman" w:hAnsi="Times New Roman" w:cs="Times New Roman"/>
                <w:sz w:val="24"/>
                <w:szCs w:val="24"/>
              </w:rPr>
              <w:t>Step 1 Obtaining the disbursements difference between DAC2a and CRS at the donor, recipients, and year level (</w:t>
            </w:r>
            <w:proofErr w:type="spellStart"/>
            <w:r w:rsidRPr="00C36686">
              <w:rPr>
                <w:rFonts w:ascii="Times New Roman" w:hAnsi="Times New Roman" w:cs="Times New Roman"/>
                <w:sz w:val="24"/>
                <w:szCs w:val="24"/>
              </w:rPr>
              <w:t>DIF</w:t>
            </w:r>
            <w:r w:rsidRPr="00C36686">
              <w:rPr>
                <w:rFonts w:ascii="Times New Roman" w:hAnsi="Times New Roman" w:cs="Times New Roman"/>
                <w:sz w:val="24"/>
                <w:szCs w:val="24"/>
                <w:vertAlign w:val="subscript"/>
              </w:rPr>
              <w:t>dry</w:t>
            </w:r>
            <w:proofErr w:type="spellEnd"/>
            <w:r w:rsidRPr="00C36686">
              <w:rPr>
                <w:rFonts w:ascii="Times New Roman" w:hAnsi="Times New Roman" w:cs="Times New Roman"/>
                <w:sz w:val="24"/>
                <w:szCs w:val="24"/>
                <w:vertAlign w:val="subscript"/>
              </w:rPr>
              <w:t xml:space="preserve"> </w:t>
            </w:r>
            <w:r w:rsidRPr="00C36686">
              <w:rPr>
                <w:rFonts w:ascii="Times New Roman" w:hAnsi="Times New Roman" w:cs="Times New Roman"/>
                <w:sz w:val="24"/>
                <w:szCs w:val="24"/>
              </w:rPr>
              <w:t xml:space="preserve">= </w:t>
            </w:r>
            <w:proofErr w:type="spellStart"/>
            <w:r w:rsidRPr="00C36686">
              <w:rPr>
                <w:rFonts w:ascii="Times New Roman" w:hAnsi="Times New Roman" w:cs="Times New Roman"/>
                <w:sz w:val="24"/>
                <w:szCs w:val="24"/>
              </w:rPr>
              <w:t>DAC</w:t>
            </w:r>
            <w:r w:rsidRPr="00C36686">
              <w:rPr>
                <w:rFonts w:ascii="Times New Roman" w:hAnsi="Times New Roman" w:cs="Times New Roman"/>
                <w:sz w:val="24"/>
                <w:szCs w:val="24"/>
                <w:vertAlign w:val="subscript"/>
              </w:rPr>
              <w:t>dry</w:t>
            </w:r>
            <w:proofErr w:type="spellEnd"/>
            <w:r w:rsidRPr="00C36686">
              <w:rPr>
                <w:rFonts w:ascii="Times New Roman" w:hAnsi="Times New Roman" w:cs="Times New Roman"/>
                <w:sz w:val="24"/>
                <w:szCs w:val="24"/>
              </w:rPr>
              <w:t xml:space="preserve"> -</w:t>
            </w:r>
            <w:proofErr w:type="spellStart"/>
            <w:r w:rsidRPr="00C36686">
              <w:rPr>
                <w:rFonts w:ascii="Times New Roman" w:hAnsi="Times New Roman" w:cs="Times New Roman"/>
                <w:sz w:val="24"/>
                <w:szCs w:val="24"/>
              </w:rPr>
              <w:t>CRS</w:t>
            </w:r>
            <w:r w:rsidRPr="00C36686">
              <w:rPr>
                <w:rFonts w:ascii="Times New Roman" w:hAnsi="Times New Roman" w:cs="Times New Roman"/>
                <w:sz w:val="24"/>
                <w:szCs w:val="24"/>
                <w:vertAlign w:val="subscript"/>
              </w:rPr>
              <w:t>dry</w:t>
            </w:r>
            <w:proofErr w:type="spellEnd"/>
            <w:r w:rsidRPr="00C36686">
              <w:rPr>
                <w:rFonts w:ascii="Times New Roman" w:hAnsi="Times New Roman" w:cs="Times New Roman"/>
                <w:sz w:val="24"/>
                <w:szCs w:val="24"/>
              </w:rPr>
              <w:t>). The difference is the missed disbursements in CRS for each recipient.</w:t>
            </w:r>
          </w:p>
          <w:p w:rsidR="00B53172" w:rsidRPr="00C36686" w:rsidRDefault="00B53172" w:rsidP="00506E27">
            <w:pPr>
              <w:pStyle w:val="ListParagraph"/>
              <w:ind w:left="0"/>
              <w:rPr>
                <w:rFonts w:ascii="Times New Roman" w:hAnsi="Times New Roman" w:cs="Times New Roman"/>
                <w:sz w:val="24"/>
                <w:szCs w:val="24"/>
              </w:rPr>
            </w:pPr>
          </w:p>
          <w:p w:rsidR="00B53172" w:rsidRPr="00C36686" w:rsidRDefault="00B53172" w:rsidP="00506E27">
            <w:pPr>
              <w:pStyle w:val="ListParagraph"/>
              <w:ind w:left="0"/>
              <w:rPr>
                <w:rFonts w:ascii="Times New Roman" w:hAnsi="Times New Roman" w:cs="Times New Roman"/>
                <w:sz w:val="24"/>
                <w:szCs w:val="24"/>
              </w:rPr>
            </w:pPr>
            <w:r w:rsidRPr="00C36686">
              <w:rPr>
                <w:rFonts w:ascii="Times New Roman" w:hAnsi="Times New Roman" w:cs="Times New Roman"/>
                <w:sz w:val="24"/>
                <w:szCs w:val="24"/>
              </w:rPr>
              <w:t xml:space="preserve">Step 2 For disbursements difference from Source 1 (17 donors not in CRS), we followed the Van de </w:t>
            </w:r>
            <w:proofErr w:type="spellStart"/>
            <w:r w:rsidRPr="00C36686">
              <w:rPr>
                <w:rFonts w:ascii="Times New Roman" w:hAnsi="Times New Roman" w:cs="Times New Roman"/>
                <w:sz w:val="24"/>
                <w:szCs w:val="24"/>
              </w:rPr>
              <w:t>Sijpe’s</w:t>
            </w:r>
            <w:proofErr w:type="spellEnd"/>
            <w:r w:rsidRPr="00C36686">
              <w:rPr>
                <w:rFonts w:ascii="Times New Roman" w:hAnsi="Times New Roman" w:cs="Times New Roman"/>
                <w:sz w:val="24"/>
                <w:szCs w:val="24"/>
              </w:rPr>
              <w:t xml:space="preserve"> study and used the </w:t>
            </w:r>
            <w:proofErr w:type="spellStart"/>
            <w:r w:rsidRPr="00C36686">
              <w:rPr>
                <w:rFonts w:ascii="Times New Roman" w:hAnsi="Times New Roman" w:cs="Times New Roman"/>
                <w:sz w:val="24"/>
                <w:szCs w:val="24"/>
              </w:rPr>
              <w:t>sectorshare</w:t>
            </w:r>
            <w:proofErr w:type="spellEnd"/>
            <w:r w:rsidRPr="00C36686">
              <w:rPr>
                <w:rFonts w:ascii="Times New Roman" w:hAnsi="Times New Roman" w:cs="Times New Roman"/>
                <w:sz w:val="24"/>
                <w:szCs w:val="24"/>
              </w:rPr>
              <w:t xml:space="preserve"> obtained from the DAC5 for 5 donors that reported to DAC5. For 12 donors that had no information in both CRS and DAC5, we searched through their websites and obtained sector share information from 8 donors (</w:t>
            </w:r>
            <w:r w:rsidR="006C2917">
              <w:rPr>
                <w:rFonts w:ascii="Times New Roman" w:hAnsi="Times New Roman" w:cs="Times New Roman"/>
                <w:b/>
                <w:sz w:val="24"/>
                <w:szCs w:val="24"/>
              </w:rPr>
              <w:t>S5 T</w:t>
            </w:r>
            <w:r w:rsidRPr="00C36686">
              <w:rPr>
                <w:rFonts w:ascii="Times New Roman" w:hAnsi="Times New Roman" w:cs="Times New Roman"/>
                <w:b/>
                <w:sz w:val="24"/>
                <w:szCs w:val="24"/>
              </w:rPr>
              <w:t>able</w:t>
            </w:r>
            <w:r w:rsidRPr="00C36686">
              <w:rPr>
                <w:rFonts w:ascii="Times New Roman" w:hAnsi="Times New Roman" w:cs="Times New Roman"/>
                <w:sz w:val="24"/>
                <w:szCs w:val="24"/>
              </w:rPr>
              <w:t xml:space="preserve">). For 4 donors (Croatia, Israel, Latvia, </w:t>
            </w:r>
            <w:proofErr w:type="gramStart"/>
            <w:r w:rsidRPr="00C36686">
              <w:rPr>
                <w:rFonts w:ascii="Times New Roman" w:hAnsi="Times New Roman" w:cs="Times New Roman"/>
                <w:sz w:val="24"/>
                <w:szCs w:val="24"/>
              </w:rPr>
              <w:t>Liechtenstein</w:t>
            </w:r>
            <w:proofErr w:type="gramEnd"/>
            <w:r w:rsidRPr="00C36686">
              <w:rPr>
                <w:rFonts w:ascii="Times New Roman" w:hAnsi="Times New Roman" w:cs="Times New Roman"/>
                <w:sz w:val="24"/>
                <w:szCs w:val="24"/>
              </w:rPr>
              <w:t xml:space="preserve">) without any aid information in their websites, we assigned equal share across sectors. We multiplied the sector share to </w:t>
            </w:r>
            <w:proofErr w:type="spellStart"/>
            <w:r w:rsidRPr="00C36686">
              <w:rPr>
                <w:rFonts w:ascii="Times New Roman" w:hAnsi="Times New Roman" w:cs="Times New Roman"/>
                <w:sz w:val="24"/>
                <w:szCs w:val="24"/>
              </w:rPr>
              <w:t>DIF</w:t>
            </w:r>
            <w:r w:rsidRPr="00C36686">
              <w:rPr>
                <w:rFonts w:ascii="Times New Roman" w:hAnsi="Times New Roman" w:cs="Times New Roman"/>
                <w:sz w:val="24"/>
                <w:szCs w:val="24"/>
                <w:vertAlign w:val="subscript"/>
              </w:rPr>
              <w:t>dry</w:t>
            </w:r>
            <w:proofErr w:type="spellEnd"/>
            <w:r w:rsidRPr="00C36686">
              <w:rPr>
                <w:rFonts w:ascii="Times New Roman" w:hAnsi="Times New Roman" w:cs="Times New Roman"/>
                <w:sz w:val="24"/>
                <w:szCs w:val="24"/>
              </w:rPr>
              <w:t xml:space="preserve"> and obtained the sector-level </w:t>
            </w:r>
            <w:proofErr w:type="spellStart"/>
            <w:r w:rsidRPr="00C36686">
              <w:rPr>
                <w:rFonts w:ascii="Times New Roman" w:hAnsi="Times New Roman" w:cs="Times New Roman"/>
                <w:sz w:val="24"/>
                <w:szCs w:val="24"/>
              </w:rPr>
              <w:t>DIF</w:t>
            </w:r>
            <w:r w:rsidRPr="00C36686">
              <w:rPr>
                <w:rFonts w:ascii="Times New Roman" w:hAnsi="Times New Roman" w:cs="Times New Roman"/>
                <w:sz w:val="24"/>
                <w:szCs w:val="24"/>
                <w:vertAlign w:val="subscript"/>
              </w:rPr>
              <w:t>dry</w:t>
            </w:r>
            <w:proofErr w:type="spellEnd"/>
            <w:r w:rsidRPr="00C36686">
              <w:rPr>
                <w:rFonts w:ascii="Times New Roman" w:hAnsi="Times New Roman" w:cs="Times New Roman"/>
                <w:sz w:val="24"/>
                <w:szCs w:val="24"/>
              </w:rPr>
              <w:t xml:space="preserve"> for each recipient. </w:t>
            </w:r>
          </w:p>
          <w:p w:rsidR="00B53172" w:rsidRPr="00C36686" w:rsidRDefault="00B53172" w:rsidP="00506E27">
            <w:pPr>
              <w:pStyle w:val="ListParagraph"/>
              <w:ind w:left="0"/>
              <w:rPr>
                <w:rFonts w:ascii="Times New Roman" w:hAnsi="Times New Roman" w:cs="Times New Roman"/>
                <w:sz w:val="24"/>
                <w:szCs w:val="24"/>
              </w:rPr>
            </w:pPr>
          </w:p>
          <w:p w:rsidR="00B53172" w:rsidRPr="00C36686" w:rsidRDefault="00B53172" w:rsidP="00506E27">
            <w:pPr>
              <w:pStyle w:val="ListParagraph"/>
              <w:ind w:left="0"/>
              <w:rPr>
                <w:rFonts w:ascii="Times New Roman" w:hAnsi="Times New Roman" w:cs="Times New Roman"/>
                <w:sz w:val="24"/>
                <w:szCs w:val="24"/>
              </w:rPr>
            </w:pPr>
            <w:r w:rsidRPr="00C36686">
              <w:rPr>
                <w:rFonts w:ascii="Times New Roman" w:hAnsi="Times New Roman" w:cs="Times New Roman"/>
                <w:sz w:val="24"/>
                <w:szCs w:val="24"/>
              </w:rPr>
              <w:t xml:space="preserve">Step 3 For disbursements difference from Source 2 (donors reported to both CRS and DAC2 with more years or recipients to DAC2), we used existing CRS disbursements data to obtain a donor’s average share for each sector in each recipient during the period of 2000 and 2014. We multiplied the sector share to </w:t>
            </w:r>
            <w:proofErr w:type="spellStart"/>
            <w:r w:rsidRPr="00C36686">
              <w:rPr>
                <w:rFonts w:ascii="Times New Roman" w:hAnsi="Times New Roman" w:cs="Times New Roman"/>
                <w:sz w:val="24"/>
                <w:szCs w:val="24"/>
              </w:rPr>
              <w:t>DIF</w:t>
            </w:r>
            <w:r w:rsidRPr="00C36686">
              <w:rPr>
                <w:rFonts w:ascii="Times New Roman" w:hAnsi="Times New Roman" w:cs="Times New Roman"/>
                <w:sz w:val="24"/>
                <w:szCs w:val="24"/>
                <w:vertAlign w:val="subscript"/>
              </w:rPr>
              <w:t>dry</w:t>
            </w:r>
            <w:proofErr w:type="spellEnd"/>
            <w:r w:rsidRPr="00C36686">
              <w:rPr>
                <w:rFonts w:ascii="Times New Roman" w:hAnsi="Times New Roman" w:cs="Times New Roman"/>
                <w:sz w:val="24"/>
                <w:szCs w:val="24"/>
              </w:rPr>
              <w:t xml:space="preserve"> and obtained the sector-level </w:t>
            </w:r>
            <w:proofErr w:type="spellStart"/>
            <w:r w:rsidRPr="00C36686">
              <w:rPr>
                <w:rFonts w:ascii="Times New Roman" w:hAnsi="Times New Roman" w:cs="Times New Roman"/>
                <w:sz w:val="24"/>
                <w:szCs w:val="24"/>
              </w:rPr>
              <w:t>DIF</w:t>
            </w:r>
            <w:r w:rsidRPr="00C36686">
              <w:rPr>
                <w:rFonts w:ascii="Times New Roman" w:hAnsi="Times New Roman" w:cs="Times New Roman"/>
                <w:sz w:val="24"/>
                <w:szCs w:val="24"/>
                <w:vertAlign w:val="subscript"/>
              </w:rPr>
              <w:t>dry</w:t>
            </w:r>
            <w:proofErr w:type="spellEnd"/>
            <w:r w:rsidRPr="00C36686">
              <w:rPr>
                <w:rFonts w:ascii="Times New Roman" w:hAnsi="Times New Roman" w:cs="Times New Roman"/>
                <w:sz w:val="24"/>
                <w:szCs w:val="24"/>
              </w:rPr>
              <w:t xml:space="preserve"> for each recipient. </w:t>
            </w:r>
          </w:p>
          <w:p w:rsidR="00B53172" w:rsidRPr="00C36686" w:rsidRDefault="00B53172" w:rsidP="00506E27">
            <w:pPr>
              <w:pStyle w:val="ListParagraph"/>
              <w:ind w:left="0"/>
              <w:rPr>
                <w:rFonts w:ascii="Times New Roman" w:hAnsi="Times New Roman" w:cs="Times New Roman"/>
                <w:sz w:val="24"/>
                <w:szCs w:val="24"/>
              </w:rPr>
            </w:pPr>
          </w:p>
          <w:p w:rsidR="00B53172" w:rsidRPr="00C36686" w:rsidRDefault="00B53172" w:rsidP="00506E27">
            <w:pPr>
              <w:pStyle w:val="ListParagraph"/>
              <w:ind w:left="0"/>
              <w:rPr>
                <w:rFonts w:ascii="Times New Roman" w:hAnsi="Times New Roman" w:cs="Times New Roman"/>
                <w:sz w:val="24"/>
                <w:szCs w:val="24"/>
              </w:rPr>
            </w:pPr>
            <w:r w:rsidRPr="00C36686">
              <w:rPr>
                <w:rFonts w:ascii="Times New Roman" w:hAnsi="Times New Roman" w:cs="Times New Roman"/>
                <w:sz w:val="24"/>
                <w:szCs w:val="24"/>
              </w:rPr>
              <w:t xml:space="preserve">Step 4 For disbursements difference from Source 3(the largest source of missing before 2012), we used the existing CRS disbursements data to obtain a donor’s share for each sector in each recipient in each year and multiplied the sector share to </w:t>
            </w:r>
            <w:proofErr w:type="spellStart"/>
            <w:r w:rsidRPr="00C36686">
              <w:rPr>
                <w:rFonts w:ascii="Times New Roman" w:hAnsi="Times New Roman" w:cs="Times New Roman"/>
                <w:sz w:val="24"/>
                <w:szCs w:val="24"/>
              </w:rPr>
              <w:t>DIF</w:t>
            </w:r>
            <w:r w:rsidRPr="00C36686">
              <w:rPr>
                <w:rFonts w:ascii="Times New Roman" w:hAnsi="Times New Roman" w:cs="Times New Roman"/>
                <w:sz w:val="24"/>
                <w:szCs w:val="24"/>
                <w:vertAlign w:val="subscript"/>
              </w:rPr>
              <w:t>dry</w:t>
            </w:r>
            <w:proofErr w:type="spellEnd"/>
            <w:r w:rsidRPr="00C36686">
              <w:rPr>
                <w:rFonts w:ascii="Times New Roman" w:hAnsi="Times New Roman" w:cs="Times New Roman"/>
                <w:sz w:val="24"/>
                <w:szCs w:val="24"/>
              </w:rPr>
              <w:t xml:space="preserve"> to obtained the sector-level </w:t>
            </w:r>
            <w:proofErr w:type="spellStart"/>
            <w:r w:rsidRPr="00C36686">
              <w:rPr>
                <w:rFonts w:ascii="Times New Roman" w:hAnsi="Times New Roman" w:cs="Times New Roman"/>
                <w:sz w:val="24"/>
                <w:szCs w:val="24"/>
              </w:rPr>
              <w:t>DIF</w:t>
            </w:r>
            <w:r w:rsidRPr="00C36686">
              <w:rPr>
                <w:rFonts w:ascii="Times New Roman" w:hAnsi="Times New Roman" w:cs="Times New Roman"/>
                <w:sz w:val="24"/>
                <w:szCs w:val="24"/>
                <w:vertAlign w:val="subscript"/>
              </w:rPr>
              <w:t>dry</w:t>
            </w:r>
            <w:proofErr w:type="spellEnd"/>
            <w:r w:rsidRPr="00C36686">
              <w:rPr>
                <w:rFonts w:ascii="Times New Roman" w:hAnsi="Times New Roman" w:cs="Times New Roman"/>
                <w:sz w:val="24"/>
                <w:szCs w:val="24"/>
              </w:rPr>
              <w:t xml:space="preserve"> for each recipient. </w:t>
            </w:r>
          </w:p>
          <w:p w:rsidR="00B53172" w:rsidRPr="00C36686" w:rsidRDefault="00B53172" w:rsidP="00506E27">
            <w:pPr>
              <w:pStyle w:val="ListParagraph"/>
              <w:ind w:left="0"/>
              <w:rPr>
                <w:rFonts w:ascii="Times New Roman" w:hAnsi="Times New Roman" w:cs="Times New Roman"/>
                <w:sz w:val="24"/>
                <w:szCs w:val="24"/>
              </w:rPr>
            </w:pPr>
          </w:p>
          <w:p w:rsidR="00B53172" w:rsidRPr="00C36686" w:rsidRDefault="00B53172" w:rsidP="00506E27">
            <w:pPr>
              <w:pStyle w:val="ListParagraph"/>
              <w:ind w:left="0"/>
              <w:rPr>
                <w:rFonts w:ascii="Times New Roman" w:hAnsi="Times New Roman" w:cs="Times New Roman"/>
                <w:sz w:val="24"/>
                <w:szCs w:val="24"/>
              </w:rPr>
            </w:pPr>
            <w:r w:rsidRPr="00C36686">
              <w:rPr>
                <w:rFonts w:ascii="Times New Roman" w:hAnsi="Times New Roman" w:cs="Times New Roman"/>
                <w:sz w:val="24"/>
                <w:szCs w:val="24"/>
              </w:rPr>
              <w:t xml:space="preserve">Step 5 Adding the estimated sectorial difference to the CRS disbursements at the donor, </w:t>
            </w:r>
            <w:r w:rsidRPr="00C36686">
              <w:rPr>
                <w:rFonts w:ascii="Times New Roman" w:hAnsi="Times New Roman" w:cs="Times New Roman"/>
                <w:sz w:val="24"/>
                <w:szCs w:val="24"/>
              </w:rPr>
              <w:lastRenderedPageBreak/>
              <w:t>recipient, year and sector level (</w:t>
            </w:r>
            <w:proofErr w:type="spellStart"/>
            <w:r w:rsidRPr="00C36686">
              <w:rPr>
                <w:rFonts w:ascii="Times New Roman" w:hAnsi="Times New Roman" w:cs="Times New Roman"/>
                <w:sz w:val="24"/>
                <w:szCs w:val="24"/>
              </w:rPr>
              <w:t>DIF</w:t>
            </w:r>
            <w:r w:rsidRPr="00C36686">
              <w:rPr>
                <w:rFonts w:ascii="Times New Roman" w:hAnsi="Times New Roman" w:cs="Times New Roman"/>
                <w:sz w:val="24"/>
                <w:szCs w:val="24"/>
                <w:vertAlign w:val="subscript"/>
              </w:rPr>
              <w:t>drys</w:t>
            </w:r>
            <w:proofErr w:type="spellEnd"/>
            <w:r w:rsidRPr="00C36686">
              <w:rPr>
                <w:rFonts w:ascii="Times New Roman" w:hAnsi="Times New Roman" w:cs="Times New Roman"/>
                <w:sz w:val="24"/>
                <w:szCs w:val="24"/>
                <w:vertAlign w:val="subscript"/>
              </w:rPr>
              <w:t xml:space="preserve"> </w:t>
            </w:r>
            <w:r w:rsidRPr="00C36686">
              <w:rPr>
                <w:rFonts w:ascii="Times New Roman" w:hAnsi="Times New Roman" w:cs="Times New Roman"/>
                <w:sz w:val="24"/>
                <w:szCs w:val="24"/>
              </w:rPr>
              <w:t>+</w:t>
            </w:r>
            <w:r w:rsidRPr="00C36686">
              <w:rPr>
                <w:rFonts w:ascii="Times New Roman" w:hAnsi="Times New Roman" w:cs="Times New Roman"/>
                <w:sz w:val="24"/>
                <w:szCs w:val="24"/>
                <w:vertAlign w:val="subscript"/>
              </w:rPr>
              <w:t xml:space="preserve"> </w:t>
            </w:r>
            <w:proofErr w:type="spellStart"/>
            <w:r w:rsidRPr="00C36686">
              <w:rPr>
                <w:rFonts w:ascii="Times New Roman" w:hAnsi="Times New Roman" w:cs="Times New Roman"/>
                <w:sz w:val="24"/>
                <w:szCs w:val="24"/>
              </w:rPr>
              <w:t>CRS</w:t>
            </w:r>
            <w:r w:rsidRPr="00C36686">
              <w:rPr>
                <w:rFonts w:ascii="Times New Roman" w:hAnsi="Times New Roman" w:cs="Times New Roman"/>
                <w:sz w:val="24"/>
                <w:szCs w:val="24"/>
                <w:vertAlign w:val="subscript"/>
              </w:rPr>
              <w:t>drys</w:t>
            </w:r>
            <w:proofErr w:type="spellEnd"/>
            <w:r w:rsidRPr="00C36686">
              <w:rPr>
                <w:rFonts w:ascii="Times New Roman" w:hAnsi="Times New Roman" w:cs="Times New Roman"/>
                <w:sz w:val="24"/>
                <w:szCs w:val="24"/>
              </w:rPr>
              <w:t xml:space="preserve">) and obtaining the disbursement estimates by sectors with imputed values.     </w:t>
            </w:r>
          </w:p>
        </w:tc>
      </w:tr>
    </w:tbl>
    <w:p w:rsidR="00A53BD3" w:rsidRDefault="00A53BD3" w:rsidP="00355895">
      <w:pPr>
        <w:pStyle w:val="NormalWeb"/>
        <w:spacing w:line="240" w:lineRule="auto"/>
        <w:rPr>
          <w:b/>
        </w:rPr>
      </w:pPr>
    </w:p>
    <w:p w:rsidR="00A53BD3" w:rsidRDefault="00A53BD3" w:rsidP="00355895">
      <w:pPr>
        <w:pStyle w:val="NormalWeb"/>
        <w:spacing w:line="240" w:lineRule="auto"/>
        <w:rPr>
          <w:b/>
        </w:rPr>
      </w:pPr>
    </w:p>
    <w:p w:rsidR="00355895" w:rsidRDefault="004810F9" w:rsidP="00B53172">
      <w:pPr>
        <w:pStyle w:val="ListParagraph"/>
        <w:spacing w:line="240" w:lineRule="auto"/>
        <w:ind w:left="0"/>
        <w:rPr>
          <w:rFonts w:ascii="Times New Roman" w:hAnsi="Times New Roman"/>
          <w:sz w:val="24"/>
          <w:szCs w:val="24"/>
          <w:lang w:val="en-GB"/>
        </w:rPr>
      </w:pPr>
      <w:r>
        <w:rPr>
          <w:rFonts w:ascii="Times New Roman" w:hAnsi="Times New Roman"/>
          <w:sz w:val="24"/>
          <w:szCs w:val="24"/>
          <w:lang w:val="en-GB"/>
        </w:rPr>
        <w:t xml:space="preserve"> </w:t>
      </w:r>
      <w:r w:rsidR="00355895">
        <w:rPr>
          <w:rFonts w:ascii="Times New Roman" w:hAnsi="Times New Roman"/>
          <w:sz w:val="24"/>
          <w:szCs w:val="24"/>
          <w:lang w:val="en-GB"/>
        </w:rPr>
        <w:t>(4) Validating imputation methods for missing disbursements data in the CRS</w:t>
      </w:r>
    </w:p>
    <w:p w:rsidR="00355895" w:rsidRPr="00D91102" w:rsidRDefault="00355895" w:rsidP="00355895">
      <w:pPr>
        <w:autoSpaceDE w:val="0"/>
        <w:autoSpaceDN w:val="0"/>
        <w:adjustRightInd w:val="0"/>
        <w:spacing w:after="0" w:line="240" w:lineRule="auto"/>
        <w:contextualSpacing/>
        <w:rPr>
          <w:rFonts w:ascii="Times New Roman" w:hAnsi="Times New Roman" w:cs="Times New Roman"/>
          <w:sz w:val="24"/>
          <w:szCs w:val="24"/>
          <w:lang w:val="en-GB"/>
        </w:rPr>
      </w:pPr>
      <w:r w:rsidRPr="00D91102">
        <w:rPr>
          <w:rFonts w:ascii="Times New Roman" w:hAnsi="Times New Roman" w:cs="Times New Roman"/>
          <w:sz w:val="24"/>
          <w:szCs w:val="24"/>
          <w:lang w:val="en-GB"/>
        </w:rPr>
        <w:t xml:space="preserve">We compared the imputed value of missing disbursements data generated from our method to that from </w:t>
      </w:r>
      <w:r w:rsidRPr="00D91102">
        <w:rPr>
          <w:rFonts w:ascii="Times New Roman" w:hAnsi="Times New Roman" w:cs="Times New Roman"/>
          <w:sz w:val="24"/>
          <w:szCs w:val="24"/>
        </w:rPr>
        <w:t xml:space="preserve">Van de </w:t>
      </w:r>
      <w:proofErr w:type="spellStart"/>
      <w:r w:rsidRPr="00D91102">
        <w:rPr>
          <w:rFonts w:ascii="Times New Roman" w:hAnsi="Times New Roman" w:cs="Times New Roman"/>
          <w:sz w:val="24"/>
          <w:szCs w:val="24"/>
        </w:rPr>
        <w:t>Sijpe’s</w:t>
      </w:r>
      <w:proofErr w:type="spellEnd"/>
      <w:r w:rsidRPr="00D91102">
        <w:rPr>
          <w:rFonts w:ascii="Times New Roman" w:hAnsi="Times New Roman" w:cs="Times New Roman"/>
          <w:sz w:val="24"/>
          <w:szCs w:val="24"/>
        </w:rPr>
        <w:t xml:space="preserve"> study</w:t>
      </w:r>
      <w:r w:rsidRPr="00D91102">
        <w:rPr>
          <w:rFonts w:ascii="Times New Roman" w:hAnsi="Times New Roman" w:cs="Times New Roman"/>
          <w:sz w:val="24"/>
          <w:szCs w:val="24"/>
          <w:lang w:val="en-GB"/>
        </w:rPr>
        <w:t xml:space="preserve"> by applying the root-mean-square error (RMSE) method. The </w:t>
      </w:r>
      <w:r w:rsidRPr="00D91102">
        <w:rPr>
          <w:rFonts w:ascii="Times New Roman" w:hAnsi="Times New Roman" w:cs="Times New Roman"/>
          <w:sz w:val="24"/>
          <w:szCs w:val="24"/>
        </w:rPr>
        <w:t xml:space="preserve">RMSE measures the difference between imputed values and the observed values and is calculated as the square root of the mean of the squares of the deviations between predicted values and observed values. The smaller the RMSE is, the closer is the imputed value to the actual value, and the more accurate of the imputed value.  </w:t>
      </w:r>
    </w:p>
    <w:p w:rsidR="00355895" w:rsidRDefault="00355895" w:rsidP="00355895">
      <w:pPr>
        <w:pStyle w:val="NormalWeb"/>
        <w:spacing w:line="240" w:lineRule="auto"/>
        <w:contextualSpacing/>
      </w:pPr>
    </w:p>
    <w:p w:rsidR="00355895" w:rsidRPr="004810F9" w:rsidRDefault="00355895" w:rsidP="00355895">
      <w:pPr>
        <w:pStyle w:val="NormalWeb"/>
        <w:spacing w:line="240" w:lineRule="auto"/>
        <w:contextualSpacing/>
      </w:pPr>
      <w:r>
        <w:t xml:space="preserve">To perform the calculation on the RMSE, we used the CRS data 2011 which has the lowest missing rate among all years. We first split the data into two groups: data used for imputation (80% of the existing data), and data used for validation (20% of the existing data). We generated sectoral share using the 80% of the CRS data. We applied two sectoral shares (from the DAC5 and CRS) to the 20% validation data to </w:t>
      </w:r>
      <w:proofErr w:type="spellStart"/>
      <w:r>
        <w:t>obtaine</w:t>
      </w:r>
      <w:proofErr w:type="spellEnd"/>
      <w:r>
        <w:t xml:space="preserve"> imputed values for the 20% of the validation data. We then calculated the difference between the imputed value obtained from each of the methods and actual value for the observations in the 20% validation data (see procedures in </w:t>
      </w:r>
      <w:r w:rsidR="006C2917">
        <w:rPr>
          <w:b/>
        </w:rPr>
        <w:t>S6 F</w:t>
      </w:r>
      <w:r w:rsidRPr="00A26AE7">
        <w:rPr>
          <w:b/>
        </w:rPr>
        <w:t>ig</w:t>
      </w:r>
      <w:r w:rsidR="006C2917">
        <w:rPr>
          <w:b/>
        </w:rPr>
        <w:t>.</w:t>
      </w:r>
      <w:r>
        <w:t xml:space="preserve">). </w:t>
      </w:r>
    </w:p>
    <w:p w:rsidR="00355895" w:rsidRDefault="00355895" w:rsidP="00355895">
      <w:pPr>
        <w:pStyle w:val="NormalWeb"/>
        <w:spacing w:line="240" w:lineRule="auto"/>
        <w:contextualSpacing/>
        <w:rPr>
          <w:lang w:val="en-GB"/>
        </w:rPr>
      </w:pPr>
    </w:p>
    <w:p w:rsidR="00355895" w:rsidRPr="004810F9" w:rsidRDefault="00355895" w:rsidP="004810F9">
      <w:pPr>
        <w:pStyle w:val="NormalWeb"/>
        <w:spacing w:line="240" w:lineRule="auto"/>
        <w:contextualSpacing/>
        <w:rPr>
          <w:lang w:val="en-GB"/>
        </w:rPr>
      </w:pPr>
      <w:r>
        <w:rPr>
          <w:lang w:val="en-GB"/>
        </w:rPr>
        <w:t>W</w:t>
      </w:r>
      <w:r>
        <w:t xml:space="preserve">e obtained the RMSE for each method, which shows that our estimation generates lower RMSE than the Van de </w:t>
      </w:r>
      <w:proofErr w:type="spellStart"/>
      <w:r>
        <w:t>Sijpe’s</w:t>
      </w:r>
      <w:proofErr w:type="spellEnd"/>
      <w:r>
        <w:t xml:space="preserve"> study in aggregated level and in individual sectors except water and sanitation (</w:t>
      </w:r>
      <w:r w:rsidR="006C2917">
        <w:rPr>
          <w:b/>
        </w:rPr>
        <w:t>S6 T</w:t>
      </w:r>
      <w:r>
        <w:rPr>
          <w:b/>
        </w:rPr>
        <w:t>able</w:t>
      </w:r>
      <w:r>
        <w:t>)</w:t>
      </w:r>
      <w:r>
        <w:rPr>
          <w:lang w:val="en-GB"/>
        </w:rPr>
        <w:t>. This indic</w:t>
      </w:r>
      <w:r w:rsidR="006672DF">
        <w:rPr>
          <w:lang w:val="en-GB"/>
        </w:rPr>
        <w:t>ates that our imputation method</w:t>
      </w:r>
      <w:r>
        <w:rPr>
          <w:lang w:val="en-GB"/>
        </w:rPr>
        <w:t xml:space="preserve"> for recipient-level missing data is better than the Van de </w:t>
      </w:r>
      <w:proofErr w:type="spellStart"/>
      <w:r>
        <w:rPr>
          <w:lang w:val="en-GB"/>
        </w:rPr>
        <w:t>Sijpe’s</w:t>
      </w:r>
      <w:proofErr w:type="spellEnd"/>
      <w:r>
        <w:rPr>
          <w:lang w:val="en-GB"/>
        </w:rPr>
        <w:t xml:space="preserve"> method. </w:t>
      </w:r>
    </w:p>
    <w:p w:rsidR="00355895" w:rsidRDefault="00355895" w:rsidP="00355895">
      <w:pPr>
        <w:pStyle w:val="ListParagraph"/>
        <w:numPr>
          <w:ilvl w:val="0"/>
          <w:numId w:val="27"/>
        </w:numPr>
        <w:spacing w:line="240" w:lineRule="auto"/>
        <w:ind w:left="360"/>
        <w:rPr>
          <w:rFonts w:ascii="Times New Roman" w:hAnsi="Times New Roman"/>
          <w:sz w:val="24"/>
          <w:szCs w:val="24"/>
        </w:rPr>
      </w:pPr>
      <w:r>
        <w:rPr>
          <w:rFonts w:ascii="Times New Roman" w:hAnsi="Times New Roman"/>
          <w:sz w:val="24"/>
          <w:szCs w:val="24"/>
        </w:rPr>
        <w:t>Missing rate by sectors</w:t>
      </w:r>
    </w:p>
    <w:p w:rsidR="00AC3EE5" w:rsidRPr="00355895" w:rsidRDefault="00AC3EE5" w:rsidP="00AC3EE5">
      <w:pPr>
        <w:pStyle w:val="ListParagraph"/>
        <w:spacing w:line="240" w:lineRule="auto"/>
        <w:ind w:left="360"/>
        <w:rPr>
          <w:rFonts w:ascii="Times New Roman" w:hAnsi="Times New Roman"/>
          <w:sz w:val="24"/>
          <w:szCs w:val="24"/>
        </w:rPr>
      </w:pPr>
    </w:p>
    <w:p w:rsidR="00B53172" w:rsidRDefault="00B53172" w:rsidP="00B53172">
      <w:pPr>
        <w:pStyle w:val="ListParagraph"/>
        <w:spacing w:line="240" w:lineRule="auto"/>
        <w:ind w:left="0"/>
        <w:rPr>
          <w:rFonts w:ascii="Times New Roman" w:hAnsi="Times New Roman"/>
          <w:sz w:val="24"/>
          <w:szCs w:val="24"/>
        </w:rPr>
      </w:pPr>
      <w:r>
        <w:rPr>
          <w:rFonts w:ascii="Times New Roman" w:hAnsi="Times New Roman"/>
          <w:sz w:val="24"/>
          <w:szCs w:val="24"/>
        </w:rPr>
        <w:t>With imputed disbursements difference between CRS and DAC2 at the sector level, we were able to estimate the missing rate by sectors (</w:t>
      </w:r>
      <w:proofErr w:type="spellStart"/>
      <w:r>
        <w:rPr>
          <w:rFonts w:ascii="Times New Roman" w:hAnsi="Times New Roman"/>
          <w:sz w:val="24"/>
          <w:szCs w:val="24"/>
        </w:rPr>
        <w:t>DIF</w:t>
      </w:r>
      <w:r>
        <w:rPr>
          <w:rFonts w:ascii="Times New Roman" w:hAnsi="Times New Roman"/>
          <w:sz w:val="24"/>
          <w:szCs w:val="24"/>
          <w:vertAlign w:val="subscript"/>
        </w:rPr>
        <w:t>d</w:t>
      </w:r>
      <w:r w:rsidRPr="00AC02A0">
        <w:rPr>
          <w:rFonts w:ascii="Times New Roman" w:hAnsi="Times New Roman"/>
          <w:sz w:val="24"/>
          <w:szCs w:val="24"/>
          <w:vertAlign w:val="subscript"/>
        </w:rPr>
        <w:t>r</w:t>
      </w:r>
      <w:r>
        <w:rPr>
          <w:rFonts w:ascii="Times New Roman" w:hAnsi="Times New Roman"/>
          <w:sz w:val="24"/>
          <w:szCs w:val="24"/>
          <w:vertAlign w:val="subscript"/>
        </w:rPr>
        <w:t>ys</w:t>
      </w:r>
      <w:proofErr w:type="spellEnd"/>
      <w:r>
        <w:rPr>
          <w:rFonts w:ascii="Times New Roman" w:hAnsi="Times New Roman"/>
          <w:sz w:val="24"/>
          <w:szCs w:val="24"/>
          <w:vertAlign w:val="subscript"/>
        </w:rPr>
        <w:t xml:space="preserve"> </w:t>
      </w:r>
      <w:proofErr w:type="gramStart"/>
      <w:r>
        <w:rPr>
          <w:rFonts w:ascii="Times New Roman" w:hAnsi="Times New Roman"/>
          <w:sz w:val="24"/>
          <w:szCs w:val="24"/>
        </w:rPr>
        <w:t>/(</w:t>
      </w:r>
      <w:proofErr w:type="spellStart"/>
      <w:proofErr w:type="gramEnd"/>
      <w:r>
        <w:rPr>
          <w:rFonts w:ascii="Times New Roman" w:hAnsi="Times New Roman"/>
          <w:sz w:val="24"/>
          <w:szCs w:val="24"/>
        </w:rPr>
        <w:t>DIF</w:t>
      </w:r>
      <w:r>
        <w:rPr>
          <w:rFonts w:ascii="Times New Roman" w:hAnsi="Times New Roman"/>
          <w:sz w:val="24"/>
          <w:szCs w:val="24"/>
          <w:vertAlign w:val="subscript"/>
        </w:rPr>
        <w:t>d</w:t>
      </w:r>
      <w:r w:rsidRPr="00AC02A0">
        <w:rPr>
          <w:rFonts w:ascii="Times New Roman" w:hAnsi="Times New Roman"/>
          <w:sz w:val="24"/>
          <w:szCs w:val="24"/>
          <w:vertAlign w:val="subscript"/>
        </w:rPr>
        <w:t>r</w:t>
      </w:r>
      <w:r>
        <w:rPr>
          <w:rFonts w:ascii="Times New Roman" w:hAnsi="Times New Roman"/>
          <w:sz w:val="24"/>
          <w:szCs w:val="24"/>
          <w:vertAlign w:val="subscript"/>
        </w:rPr>
        <w:t>ys</w:t>
      </w:r>
      <w:proofErr w:type="spellEnd"/>
      <w:r>
        <w:rPr>
          <w:rFonts w:ascii="Times New Roman" w:hAnsi="Times New Roman"/>
          <w:sz w:val="24"/>
          <w:szCs w:val="24"/>
          <w:vertAlign w:val="subscript"/>
        </w:rPr>
        <w:t xml:space="preserve"> </w:t>
      </w:r>
      <w:r>
        <w:rPr>
          <w:rFonts w:ascii="Times New Roman" w:hAnsi="Times New Roman"/>
          <w:sz w:val="24"/>
          <w:szCs w:val="24"/>
        </w:rPr>
        <w:t>+</w:t>
      </w:r>
      <w:r>
        <w:rPr>
          <w:rFonts w:ascii="Times New Roman" w:hAnsi="Times New Roman"/>
          <w:sz w:val="24"/>
          <w:szCs w:val="24"/>
          <w:vertAlign w:val="subscript"/>
        </w:rPr>
        <w:t xml:space="preserve"> </w:t>
      </w:r>
      <w:proofErr w:type="spellStart"/>
      <w:r>
        <w:rPr>
          <w:rFonts w:ascii="Times New Roman" w:hAnsi="Times New Roman"/>
          <w:sz w:val="24"/>
          <w:szCs w:val="24"/>
        </w:rPr>
        <w:t>CRS</w:t>
      </w:r>
      <w:r>
        <w:rPr>
          <w:rFonts w:ascii="Times New Roman" w:hAnsi="Times New Roman"/>
          <w:sz w:val="24"/>
          <w:szCs w:val="24"/>
          <w:vertAlign w:val="subscript"/>
        </w:rPr>
        <w:t>d</w:t>
      </w:r>
      <w:r w:rsidRPr="00AC02A0">
        <w:rPr>
          <w:rFonts w:ascii="Times New Roman" w:hAnsi="Times New Roman"/>
          <w:sz w:val="24"/>
          <w:szCs w:val="24"/>
          <w:vertAlign w:val="subscript"/>
        </w:rPr>
        <w:t>r</w:t>
      </w:r>
      <w:r>
        <w:rPr>
          <w:rFonts w:ascii="Times New Roman" w:hAnsi="Times New Roman"/>
          <w:sz w:val="24"/>
          <w:szCs w:val="24"/>
          <w:vertAlign w:val="subscript"/>
        </w:rPr>
        <w:t>ys</w:t>
      </w:r>
      <w:proofErr w:type="spellEnd"/>
      <w:r>
        <w:rPr>
          <w:rFonts w:ascii="Times New Roman" w:hAnsi="Times New Roman"/>
          <w:sz w:val="24"/>
          <w:szCs w:val="24"/>
        </w:rPr>
        <w:t>)). The sectoral missing rates between 2000 and 2014 in health, water and sanitation, food and humanit</w:t>
      </w:r>
      <w:r w:rsidR="00355895">
        <w:rPr>
          <w:rFonts w:ascii="Times New Roman" w:hAnsi="Times New Roman"/>
          <w:sz w:val="24"/>
          <w:szCs w:val="24"/>
        </w:rPr>
        <w:t>arian assistance, and education</w:t>
      </w:r>
      <w:r>
        <w:rPr>
          <w:rFonts w:ascii="Times New Roman" w:hAnsi="Times New Roman"/>
          <w:sz w:val="24"/>
          <w:szCs w:val="24"/>
        </w:rPr>
        <w:t xml:space="preserve"> are presented in </w:t>
      </w:r>
      <w:r w:rsidR="006C2917">
        <w:rPr>
          <w:rFonts w:ascii="Times New Roman" w:hAnsi="Times New Roman"/>
          <w:b/>
          <w:sz w:val="24"/>
          <w:szCs w:val="24"/>
        </w:rPr>
        <w:t>S7 F</w:t>
      </w:r>
      <w:r w:rsidRPr="00B66AD9">
        <w:rPr>
          <w:rFonts w:ascii="Times New Roman" w:hAnsi="Times New Roman"/>
          <w:b/>
          <w:sz w:val="24"/>
          <w:szCs w:val="24"/>
        </w:rPr>
        <w:t>ig</w:t>
      </w:r>
      <w:r w:rsidRPr="00B52E7A">
        <w:rPr>
          <w:rFonts w:ascii="Times New Roman" w:hAnsi="Times New Roman"/>
          <w:sz w:val="24"/>
          <w:szCs w:val="24"/>
        </w:rPr>
        <w:t>.</w:t>
      </w:r>
      <w:r>
        <w:rPr>
          <w:rFonts w:ascii="Times New Roman" w:hAnsi="Times New Roman"/>
          <w:sz w:val="24"/>
          <w:szCs w:val="24"/>
        </w:rPr>
        <w:t xml:space="preserve"> Health sector started with 51</w:t>
      </w:r>
      <w:r w:rsidRPr="00B52E7A">
        <w:rPr>
          <w:rFonts w:ascii="Times New Roman" w:hAnsi="Times New Roman"/>
          <w:sz w:val="24"/>
          <w:szCs w:val="24"/>
        </w:rPr>
        <w:t>% of missing disburs</w:t>
      </w:r>
      <w:r>
        <w:rPr>
          <w:rFonts w:ascii="Times New Roman" w:hAnsi="Times New Roman"/>
          <w:sz w:val="24"/>
          <w:szCs w:val="24"/>
        </w:rPr>
        <w:t>ements in 2000 and reduced to 8</w:t>
      </w:r>
      <w:r w:rsidRPr="00B52E7A">
        <w:rPr>
          <w:rFonts w:ascii="Times New Roman" w:hAnsi="Times New Roman"/>
          <w:sz w:val="24"/>
          <w:szCs w:val="24"/>
        </w:rPr>
        <w:t>%</w:t>
      </w:r>
      <w:r>
        <w:rPr>
          <w:rFonts w:ascii="Times New Roman" w:hAnsi="Times New Roman"/>
          <w:sz w:val="24"/>
          <w:szCs w:val="24"/>
        </w:rPr>
        <w:t xml:space="preserve"> or less than since 2005. Education sector had 44% of disbursements data missing in 2000 and reduced to 11% or less since 2006. There was 46% of missing in water and sanitation section in 2000 and 10% or less since 2008. Missing rate in food and humanitarian assistance had the highest missing rate in 2000 (87%) and fell down straightly to 10% in 2006, and went up in 2013 and 2014 due to lack of reporting to the CRS for food aid in the Middle East region from Saudi Arabia. The trends of missing rates suggested similar pattern across sectors and effects of missing data on aid estimates in these sectors are much smaller after 2005. </w:t>
      </w:r>
    </w:p>
    <w:p w:rsidR="00B53172" w:rsidRDefault="00B53172" w:rsidP="00B53172">
      <w:pPr>
        <w:pStyle w:val="ListParagraph"/>
        <w:spacing w:line="240" w:lineRule="auto"/>
        <w:ind w:left="0"/>
        <w:rPr>
          <w:rFonts w:ascii="Times New Roman" w:hAnsi="Times New Roman"/>
          <w:b/>
          <w:sz w:val="24"/>
          <w:szCs w:val="24"/>
        </w:rPr>
      </w:pPr>
    </w:p>
    <w:p w:rsidR="00B53172" w:rsidRPr="00C05B20" w:rsidRDefault="00B53172" w:rsidP="00B53172">
      <w:pPr>
        <w:spacing w:line="240" w:lineRule="auto"/>
        <w:rPr>
          <w:rFonts w:ascii="Times New Roman" w:hAnsi="Times New Roman"/>
          <w:sz w:val="24"/>
          <w:szCs w:val="24"/>
        </w:rPr>
      </w:pPr>
      <w:r>
        <w:rPr>
          <w:rFonts w:ascii="Times New Roman" w:hAnsi="Times New Roman"/>
          <w:sz w:val="24"/>
          <w:szCs w:val="24"/>
        </w:rPr>
        <w:t>For the gap between the CRS and DAC in health sector (</w:t>
      </w:r>
      <w:proofErr w:type="spellStart"/>
      <w:r>
        <w:rPr>
          <w:rFonts w:ascii="Times New Roman" w:hAnsi="Times New Roman"/>
          <w:sz w:val="24"/>
          <w:szCs w:val="24"/>
        </w:rPr>
        <w:t>DIF</w:t>
      </w:r>
      <w:r>
        <w:rPr>
          <w:rFonts w:ascii="Times New Roman" w:hAnsi="Times New Roman"/>
          <w:sz w:val="24"/>
          <w:szCs w:val="24"/>
          <w:vertAlign w:val="subscript"/>
        </w:rPr>
        <w:t>dry</w:t>
      </w:r>
      <w:proofErr w:type="spellEnd"/>
      <w:r>
        <w:rPr>
          <w:rFonts w:ascii="Times New Roman" w:hAnsi="Times New Roman"/>
          <w:sz w:val="24"/>
          <w:szCs w:val="24"/>
        </w:rPr>
        <w:t xml:space="preserve">), we allocated a proportion of it into </w:t>
      </w:r>
      <w:r w:rsidR="00B437AA">
        <w:rPr>
          <w:rFonts w:ascii="Times New Roman" w:hAnsi="Times New Roman"/>
          <w:sz w:val="24"/>
          <w:szCs w:val="24"/>
        </w:rPr>
        <w:t xml:space="preserve">RMNCH </w:t>
      </w:r>
      <w:r>
        <w:rPr>
          <w:rFonts w:ascii="Times New Roman" w:hAnsi="Times New Roman"/>
          <w:sz w:val="24"/>
          <w:szCs w:val="24"/>
        </w:rPr>
        <w:t>using available</w:t>
      </w:r>
      <w:r w:rsidRPr="00AC02A0">
        <w:rPr>
          <w:rFonts w:ascii="Times New Roman" w:hAnsi="Times New Roman"/>
          <w:sz w:val="24"/>
          <w:szCs w:val="24"/>
        </w:rPr>
        <w:t xml:space="preserve"> CRS data</w:t>
      </w:r>
      <w:r>
        <w:rPr>
          <w:rFonts w:ascii="Times New Roman" w:hAnsi="Times New Roman"/>
          <w:sz w:val="24"/>
          <w:szCs w:val="24"/>
        </w:rPr>
        <w:t xml:space="preserve">: we calculated the disbursements </w:t>
      </w:r>
      <w:r w:rsidRPr="00AC02A0">
        <w:rPr>
          <w:rFonts w:ascii="Times New Roman" w:hAnsi="Times New Roman"/>
          <w:sz w:val="24"/>
          <w:szCs w:val="24"/>
        </w:rPr>
        <w:t>share</w:t>
      </w:r>
      <w:r>
        <w:rPr>
          <w:rFonts w:ascii="Times New Roman" w:hAnsi="Times New Roman"/>
          <w:sz w:val="24"/>
          <w:szCs w:val="24"/>
        </w:rPr>
        <w:t xml:space="preserve"> of child and maternal care for each recipient in each year. We then multiplied the share to the </w:t>
      </w:r>
      <w:proofErr w:type="spellStart"/>
      <w:r>
        <w:rPr>
          <w:rFonts w:ascii="Times New Roman" w:hAnsi="Times New Roman"/>
          <w:sz w:val="24"/>
          <w:szCs w:val="24"/>
        </w:rPr>
        <w:t>DIF</w:t>
      </w:r>
      <w:r>
        <w:rPr>
          <w:rFonts w:ascii="Times New Roman" w:hAnsi="Times New Roman"/>
          <w:sz w:val="24"/>
          <w:szCs w:val="24"/>
          <w:vertAlign w:val="subscript"/>
        </w:rPr>
        <w:t>dry</w:t>
      </w:r>
      <w:proofErr w:type="spellEnd"/>
      <w:r>
        <w:rPr>
          <w:rFonts w:ascii="Times New Roman" w:hAnsi="Times New Roman"/>
          <w:sz w:val="24"/>
          <w:szCs w:val="24"/>
        </w:rPr>
        <w:t xml:space="preserve"> for each </w:t>
      </w:r>
      <w:r>
        <w:rPr>
          <w:rFonts w:ascii="Times New Roman" w:hAnsi="Times New Roman"/>
          <w:sz w:val="24"/>
          <w:szCs w:val="24"/>
        </w:rPr>
        <w:lastRenderedPageBreak/>
        <w:t xml:space="preserve">recipient in each year and obtained the imputed disbursements for child and maternal health. We then added the imputed disbursements to the existing CRS disbursements on child and maternal health for each recipient in each year.   </w:t>
      </w:r>
    </w:p>
    <w:p w:rsidR="00AC3EE5" w:rsidRDefault="00AC3EE5" w:rsidP="00AC3EE5">
      <w:pPr>
        <w:pStyle w:val="ListParagraph"/>
        <w:numPr>
          <w:ilvl w:val="0"/>
          <w:numId w:val="27"/>
        </w:num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Allocating regional and unspecified funds to recipients</w:t>
      </w:r>
    </w:p>
    <w:p w:rsidR="00AC3EE5" w:rsidRPr="00AC3EE5" w:rsidRDefault="00AC3EE5" w:rsidP="00AC3EE5">
      <w:pPr>
        <w:pStyle w:val="ListParagraph"/>
        <w:autoSpaceDE w:val="0"/>
        <w:autoSpaceDN w:val="0"/>
        <w:adjustRightInd w:val="0"/>
        <w:spacing w:after="0" w:line="240" w:lineRule="auto"/>
        <w:ind w:left="360"/>
        <w:rPr>
          <w:rFonts w:ascii="Times New Roman" w:hAnsi="Times New Roman"/>
          <w:sz w:val="24"/>
          <w:szCs w:val="24"/>
        </w:rPr>
      </w:pPr>
    </w:p>
    <w:p w:rsidR="00B53172" w:rsidRDefault="00B53172" w:rsidP="00B531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both the CRS and DAC data, s</w:t>
      </w:r>
      <w:r w:rsidRPr="00AC02A0">
        <w:rPr>
          <w:rFonts w:ascii="Times New Roman" w:hAnsi="Times New Roman"/>
          <w:sz w:val="24"/>
          <w:szCs w:val="24"/>
        </w:rPr>
        <w:t xml:space="preserve">ome donors reported disbursements only at the regional level or </w:t>
      </w:r>
      <w:r>
        <w:rPr>
          <w:rFonts w:ascii="Times New Roman" w:hAnsi="Times New Roman"/>
          <w:sz w:val="24"/>
          <w:szCs w:val="24"/>
        </w:rPr>
        <w:t>labeled it as “Developing countries, unspecified”. Our study on DAC2a disbursements data shows that these</w:t>
      </w:r>
      <w:r w:rsidRPr="00AC02A0">
        <w:rPr>
          <w:rFonts w:ascii="Times New Roman" w:hAnsi="Times New Roman"/>
          <w:sz w:val="24"/>
          <w:szCs w:val="24"/>
        </w:rPr>
        <w:t xml:space="preserve"> unspecified funding has been taking a substantial proportion of total disburs</w:t>
      </w:r>
      <w:r>
        <w:rPr>
          <w:rFonts w:ascii="Times New Roman" w:hAnsi="Times New Roman"/>
          <w:sz w:val="24"/>
          <w:szCs w:val="24"/>
        </w:rPr>
        <w:t>ements in recent years (</w:t>
      </w:r>
      <w:r w:rsidR="006C2917">
        <w:rPr>
          <w:rFonts w:ascii="Times New Roman" w:hAnsi="Times New Roman"/>
          <w:b/>
          <w:sz w:val="24"/>
          <w:szCs w:val="24"/>
        </w:rPr>
        <w:t>S8 F</w:t>
      </w:r>
      <w:r w:rsidRPr="00A31C50">
        <w:rPr>
          <w:rFonts w:ascii="Times New Roman" w:hAnsi="Times New Roman"/>
          <w:b/>
          <w:sz w:val="24"/>
          <w:szCs w:val="24"/>
        </w:rPr>
        <w:t>ig</w:t>
      </w:r>
      <w:r w:rsidR="006C2917">
        <w:rPr>
          <w:rFonts w:ascii="Times New Roman" w:hAnsi="Times New Roman"/>
          <w:b/>
          <w:sz w:val="24"/>
          <w:szCs w:val="24"/>
        </w:rPr>
        <w:t>.</w:t>
      </w:r>
      <w:r w:rsidRPr="00AC02A0">
        <w:rPr>
          <w:rFonts w:ascii="Times New Roman" w:hAnsi="Times New Roman"/>
          <w:sz w:val="24"/>
          <w:szCs w:val="24"/>
        </w:rPr>
        <w:t xml:space="preserve">). </w:t>
      </w:r>
      <w:r w:rsidRPr="00A31C50">
        <w:rPr>
          <w:rFonts w:ascii="Times New Roman" w:hAnsi="Times New Roman"/>
          <w:color w:val="000000"/>
          <w:sz w:val="23"/>
          <w:szCs w:val="23"/>
        </w:rPr>
        <w:t>In 201</w:t>
      </w:r>
      <w:r>
        <w:rPr>
          <w:rFonts w:ascii="Times New Roman" w:hAnsi="Times New Roman"/>
          <w:color w:val="000000"/>
          <w:sz w:val="23"/>
          <w:szCs w:val="23"/>
        </w:rPr>
        <w:t xml:space="preserve">4, for example, approximately 33% of disbursements in DAC2 had recipients as regions or </w:t>
      </w:r>
      <w:r w:rsidRPr="00A31C50">
        <w:rPr>
          <w:rFonts w:ascii="Times New Roman" w:hAnsi="Times New Roman"/>
          <w:color w:val="000000"/>
          <w:sz w:val="23"/>
          <w:szCs w:val="23"/>
        </w:rPr>
        <w:t>not specified</w:t>
      </w:r>
      <w:r>
        <w:rPr>
          <w:rFonts w:ascii="Times New Roman" w:hAnsi="Times New Roman"/>
          <w:color w:val="000000"/>
          <w:sz w:val="23"/>
          <w:szCs w:val="23"/>
        </w:rPr>
        <w:t>.</w:t>
      </w:r>
      <w:r w:rsidRPr="00A31C50">
        <w:rPr>
          <w:rFonts w:ascii="Times New Roman" w:hAnsi="Times New Roman"/>
          <w:color w:val="000000"/>
          <w:sz w:val="23"/>
          <w:szCs w:val="23"/>
        </w:rPr>
        <w:t xml:space="preserve"> </w:t>
      </w:r>
      <w:r w:rsidRPr="00AF5515">
        <w:rPr>
          <w:rFonts w:ascii="Times New Roman" w:hAnsi="Times New Roman"/>
          <w:sz w:val="24"/>
          <w:szCs w:val="24"/>
        </w:rPr>
        <w:t>While these funds will not affect th</w:t>
      </w:r>
      <w:r>
        <w:rPr>
          <w:rFonts w:ascii="Times New Roman" w:hAnsi="Times New Roman"/>
          <w:sz w:val="24"/>
          <w:szCs w:val="24"/>
        </w:rPr>
        <w:t xml:space="preserve">e global trends analysis, regional or country </w:t>
      </w:r>
      <w:r w:rsidRPr="00AF5515">
        <w:rPr>
          <w:rFonts w:ascii="Times New Roman" w:hAnsi="Times New Roman"/>
          <w:sz w:val="24"/>
          <w:szCs w:val="24"/>
        </w:rPr>
        <w:t>level estimates</w:t>
      </w:r>
      <w:r>
        <w:rPr>
          <w:rFonts w:ascii="Times New Roman" w:hAnsi="Times New Roman"/>
          <w:sz w:val="24"/>
          <w:szCs w:val="24"/>
        </w:rPr>
        <w:t xml:space="preserve"> could be substantially affected</w:t>
      </w:r>
      <w:r w:rsidRPr="00AF5515">
        <w:rPr>
          <w:rFonts w:ascii="Times New Roman" w:hAnsi="Times New Roman"/>
          <w:sz w:val="24"/>
          <w:szCs w:val="24"/>
        </w:rPr>
        <w:t xml:space="preserve">. </w:t>
      </w:r>
      <w:r>
        <w:rPr>
          <w:rFonts w:ascii="Times New Roman" w:hAnsi="Times New Roman"/>
          <w:sz w:val="24"/>
          <w:szCs w:val="24"/>
        </w:rPr>
        <w:t>We followed previous studies</w:t>
      </w:r>
      <w:r w:rsidR="004A198E">
        <w:rPr>
          <w:rFonts w:ascii="Times New Roman" w:hAnsi="Times New Roman"/>
          <w:sz w:val="24"/>
          <w:szCs w:val="24"/>
          <w:vertAlign w:val="superscript"/>
        </w:rPr>
        <w:t>6</w:t>
      </w:r>
      <w:proofErr w:type="gramStart"/>
      <w:r>
        <w:rPr>
          <w:rFonts w:ascii="Times New Roman" w:hAnsi="Times New Roman"/>
          <w:sz w:val="24"/>
          <w:szCs w:val="24"/>
          <w:vertAlign w:val="superscript"/>
        </w:rPr>
        <w:t>,</w:t>
      </w:r>
      <w:r w:rsidR="004A198E">
        <w:rPr>
          <w:rFonts w:ascii="Times New Roman" w:hAnsi="Times New Roman"/>
          <w:sz w:val="24"/>
          <w:szCs w:val="24"/>
          <w:vertAlign w:val="superscript"/>
        </w:rPr>
        <w:t>7</w:t>
      </w:r>
      <w:proofErr w:type="gramEnd"/>
      <w:r>
        <w:rPr>
          <w:rFonts w:ascii="Times New Roman" w:hAnsi="Times New Roman"/>
          <w:sz w:val="24"/>
          <w:szCs w:val="24"/>
        </w:rPr>
        <w:t xml:space="preserve"> and </w:t>
      </w:r>
      <w:r w:rsidRPr="00A31C50">
        <w:rPr>
          <w:rFonts w:ascii="Times New Roman" w:hAnsi="Times New Roman"/>
          <w:color w:val="000000"/>
          <w:sz w:val="23"/>
          <w:szCs w:val="23"/>
        </w:rPr>
        <w:t>allocated th</w:t>
      </w:r>
      <w:r>
        <w:rPr>
          <w:rFonts w:ascii="Times New Roman" w:hAnsi="Times New Roman"/>
          <w:color w:val="000000"/>
          <w:sz w:val="23"/>
          <w:szCs w:val="23"/>
        </w:rPr>
        <w:t>e annual regional or unspecified fund to each recipient</w:t>
      </w:r>
      <w:r w:rsidRPr="00A31C50">
        <w:rPr>
          <w:rFonts w:ascii="Times New Roman" w:hAnsi="Times New Roman"/>
          <w:color w:val="000000"/>
          <w:sz w:val="23"/>
          <w:szCs w:val="23"/>
        </w:rPr>
        <w:t xml:space="preserve"> based on</w:t>
      </w:r>
      <w:r>
        <w:rPr>
          <w:rFonts w:ascii="Times New Roman" w:hAnsi="Times New Roman"/>
          <w:color w:val="000000"/>
          <w:sz w:val="23"/>
          <w:szCs w:val="23"/>
        </w:rPr>
        <w:t xml:space="preserve"> its proportion in total aid disbursed  to the region or to the developing countries in the year using available CRS data</w:t>
      </w:r>
      <w:r w:rsidRPr="00A31C50">
        <w:rPr>
          <w:rFonts w:ascii="Times New Roman" w:hAnsi="Times New Roman"/>
          <w:color w:val="000000"/>
          <w:sz w:val="23"/>
          <w:szCs w:val="23"/>
        </w:rPr>
        <w:t>.</w:t>
      </w:r>
      <w:r>
        <w:rPr>
          <w:rFonts w:ascii="Times New Roman" w:hAnsi="Times New Roman"/>
          <w:color w:val="000000"/>
          <w:sz w:val="23"/>
          <w:szCs w:val="23"/>
        </w:rPr>
        <w:t xml:space="preserve"> </w:t>
      </w:r>
    </w:p>
    <w:p w:rsidR="00AC3EE5" w:rsidRDefault="00AC3EE5" w:rsidP="00B53172">
      <w:pPr>
        <w:autoSpaceDE w:val="0"/>
        <w:autoSpaceDN w:val="0"/>
        <w:adjustRightInd w:val="0"/>
        <w:spacing w:after="0" w:line="240" w:lineRule="auto"/>
        <w:rPr>
          <w:rFonts w:ascii="Times New Roman" w:hAnsi="Times New Roman"/>
          <w:sz w:val="24"/>
          <w:szCs w:val="24"/>
        </w:rPr>
      </w:pPr>
    </w:p>
    <w:p w:rsidR="00AC3EE5" w:rsidRDefault="00AC3EE5" w:rsidP="00AC3EE5">
      <w:pPr>
        <w:pStyle w:val="ListParagraph"/>
        <w:numPr>
          <w:ilvl w:val="0"/>
          <w:numId w:val="27"/>
        </w:num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Six sets of disbursements</w:t>
      </w:r>
    </w:p>
    <w:p w:rsidR="00AC3EE5" w:rsidRDefault="00AC3EE5" w:rsidP="00AC3EE5">
      <w:pPr>
        <w:pStyle w:val="ListParagraph"/>
        <w:autoSpaceDE w:val="0"/>
        <w:autoSpaceDN w:val="0"/>
        <w:adjustRightInd w:val="0"/>
        <w:spacing w:after="0" w:line="240" w:lineRule="auto"/>
        <w:ind w:left="360"/>
        <w:rPr>
          <w:rFonts w:ascii="Times New Roman" w:hAnsi="Times New Roman"/>
          <w:sz w:val="24"/>
          <w:szCs w:val="24"/>
        </w:rPr>
      </w:pPr>
    </w:p>
    <w:p w:rsidR="00B53172" w:rsidRPr="00AC3EE5" w:rsidRDefault="00B53172" w:rsidP="00AC3EE5">
      <w:pPr>
        <w:autoSpaceDE w:val="0"/>
        <w:autoSpaceDN w:val="0"/>
        <w:adjustRightInd w:val="0"/>
        <w:spacing w:after="0" w:line="240" w:lineRule="auto"/>
        <w:rPr>
          <w:rFonts w:ascii="Times New Roman" w:hAnsi="Times New Roman"/>
          <w:sz w:val="24"/>
          <w:szCs w:val="24"/>
        </w:rPr>
      </w:pPr>
      <w:r w:rsidRPr="00AC3EE5">
        <w:rPr>
          <w:rFonts w:ascii="Times New Roman" w:hAnsi="Times New Roman"/>
          <w:sz w:val="24"/>
          <w:szCs w:val="24"/>
        </w:rPr>
        <w:t>With various estimation methods, we produced two sets of annual country-level estimates for child survival for each recipient: one derived from non-missing data in CRS (</w:t>
      </w:r>
      <w:proofErr w:type="spellStart"/>
      <w:r w:rsidRPr="00AC3EE5">
        <w:rPr>
          <w:rFonts w:ascii="Times New Roman" w:hAnsi="Times New Roman"/>
          <w:sz w:val="24"/>
          <w:szCs w:val="24"/>
        </w:rPr>
        <w:t>CRS</w:t>
      </w:r>
      <w:r w:rsidRPr="00AC3EE5">
        <w:rPr>
          <w:rFonts w:ascii="Times New Roman" w:hAnsi="Times New Roman"/>
          <w:sz w:val="24"/>
          <w:szCs w:val="24"/>
          <w:vertAlign w:val="subscript"/>
        </w:rPr>
        <w:t>rys</w:t>
      </w:r>
      <w:proofErr w:type="spellEnd"/>
      <w:r w:rsidRPr="00AC3EE5">
        <w:rPr>
          <w:rFonts w:ascii="Times New Roman" w:hAnsi="Times New Roman"/>
          <w:sz w:val="24"/>
          <w:szCs w:val="24"/>
        </w:rPr>
        <w:t>), and the other including imputed missed disbursements (</w:t>
      </w:r>
      <w:proofErr w:type="spellStart"/>
      <w:r w:rsidRPr="00AC3EE5">
        <w:rPr>
          <w:rFonts w:ascii="Times New Roman" w:hAnsi="Times New Roman"/>
          <w:sz w:val="24"/>
          <w:szCs w:val="24"/>
        </w:rPr>
        <w:t>CRS</w:t>
      </w:r>
      <w:r w:rsidRPr="00AC3EE5">
        <w:rPr>
          <w:rFonts w:ascii="Times New Roman" w:hAnsi="Times New Roman"/>
          <w:sz w:val="24"/>
          <w:szCs w:val="24"/>
          <w:vertAlign w:val="subscript"/>
        </w:rPr>
        <w:t>rys</w:t>
      </w:r>
      <w:proofErr w:type="spellEnd"/>
      <w:r w:rsidRPr="00AC3EE5">
        <w:rPr>
          <w:rFonts w:ascii="Times New Roman" w:hAnsi="Times New Roman"/>
          <w:sz w:val="24"/>
          <w:szCs w:val="24"/>
        </w:rPr>
        <w:t xml:space="preserve">+ </w:t>
      </w:r>
      <w:proofErr w:type="spellStart"/>
      <w:r w:rsidRPr="00AC3EE5">
        <w:rPr>
          <w:rFonts w:ascii="Times New Roman" w:hAnsi="Times New Roman"/>
          <w:sz w:val="24"/>
          <w:szCs w:val="24"/>
        </w:rPr>
        <w:t>DIF</w:t>
      </w:r>
      <w:r w:rsidRPr="00AC3EE5">
        <w:rPr>
          <w:rFonts w:ascii="Times New Roman" w:hAnsi="Times New Roman"/>
          <w:sz w:val="24"/>
          <w:szCs w:val="24"/>
          <w:vertAlign w:val="subscript"/>
        </w:rPr>
        <w:t>rys</w:t>
      </w:r>
      <w:proofErr w:type="spellEnd"/>
      <w:r w:rsidRPr="00AC3EE5">
        <w:rPr>
          <w:rFonts w:ascii="Times New Roman" w:hAnsi="Times New Roman"/>
          <w:sz w:val="24"/>
          <w:szCs w:val="24"/>
        </w:rPr>
        <w:t xml:space="preserve">). Each set of estimates was calculated in three ways: disbursements to recipients, disbursements to recipients with allocated regional funds, disbursement to recipients with allocated regional and unspecified funds. For each recipient, we will therefore have six sets of estimates for each area, and consider </w:t>
      </w:r>
      <w:proofErr w:type="spellStart"/>
      <w:r w:rsidRPr="00AC3EE5">
        <w:rPr>
          <w:rFonts w:ascii="Times New Roman" w:hAnsi="Times New Roman"/>
          <w:sz w:val="24"/>
          <w:szCs w:val="24"/>
        </w:rPr>
        <w:t>CRS</w:t>
      </w:r>
      <w:r w:rsidRPr="00AC3EE5">
        <w:rPr>
          <w:rFonts w:ascii="Times New Roman" w:hAnsi="Times New Roman"/>
          <w:sz w:val="24"/>
          <w:szCs w:val="24"/>
          <w:vertAlign w:val="subscript"/>
        </w:rPr>
        <w:t>rys</w:t>
      </w:r>
      <w:proofErr w:type="spellEnd"/>
      <w:r w:rsidRPr="00AC3EE5">
        <w:rPr>
          <w:rFonts w:ascii="Times New Roman" w:hAnsi="Times New Roman"/>
          <w:sz w:val="24"/>
          <w:szCs w:val="24"/>
        </w:rPr>
        <w:t xml:space="preserve"> as the lower bound and </w:t>
      </w:r>
      <w:proofErr w:type="spellStart"/>
      <w:r w:rsidRPr="00AC3EE5">
        <w:rPr>
          <w:rFonts w:ascii="Times New Roman" w:eastAsia="Times New Roman" w:hAnsi="Times New Roman"/>
          <w:color w:val="000000"/>
          <w:sz w:val="24"/>
          <w:szCs w:val="24"/>
        </w:rPr>
        <w:t>EST</w:t>
      </w:r>
      <w:r w:rsidRPr="00AC3EE5">
        <w:rPr>
          <w:rFonts w:ascii="Times New Roman" w:eastAsia="Times New Roman" w:hAnsi="Times New Roman"/>
          <w:color w:val="000000"/>
          <w:sz w:val="24"/>
          <w:szCs w:val="24"/>
          <w:vertAlign w:val="subscript"/>
        </w:rPr>
        <w:t>crs_dif_allo</w:t>
      </w:r>
      <w:proofErr w:type="spellEnd"/>
      <w:r w:rsidRPr="00AC3EE5">
        <w:rPr>
          <w:rFonts w:ascii="Times New Roman" w:hAnsi="Times New Roman"/>
          <w:sz w:val="24"/>
          <w:szCs w:val="24"/>
        </w:rPr>
        <w:t xml:space="preserve"> (</w:t>
      </w:r>
      <w:proofErr w:type="spellStart"/>
      <w:r w:rsidRPr="00AC3EE5">
        <w:rPr>
          <w:rFonts w:ascii="Times New Roman" w:hAnsi="Times New Roman"/>
          <w:sz w:val="24"/>
          <w:szCs w:val="24"/>
        </w:rPr>
        <w:t>CRS</w:t>
      </w:r>
      <w:r w:rsidRPr="00AC3EE5">
        <w:rPr>
          <w:rFonts w:ascii="Times New Roman" w:hAnsi="Times New Roman"/>
          <w:sz w:val="24"/>
          <w:szCs w:val="24"/>
          <w:vertAlign w:val="subscript"/>
        </w:rPr>
        <w:t>rys</w:t>
      </w:r>
      <w:proofErr w:type="spellEnd"/>
      <w:r w:rsidRPr="00AC3EE5">
        <w:rPr>
          <w:rFonts w:ascii="Times New Roman" w:hAnsi="Times New Roman"/>
          <w:sz w:val="24"/>
          <w:szCs w:val="24"/>
        </w:rPr>
        <w:t xml:space="preserve">+ </w:t>
      </w:r>
      <w:proofErr w:type="spellStart"/>
      <w:r w:rsidRPr="00AC3EE5">
        <w:rPr>
          <w:rFonts w:ascii="Times New Roman" w:hAnsi="Times New Roman"/>
          <w:sz w:val="24"/>
          <w:szCs w:val="24"/>
        </w:rPr>
        <w:t>DIF</w:t>
      </w:r>
      <w:r w:rsidRPr="00AC3EE5">
        <w:rPr>
          <w:rFonts w:ascii="Times New Roman" w:hAnsi="Times New Roman"/>
          <w:sz w:val="24"/>
          <w:szCs w:val="24"/>
          <w:vertAlign w:val="subscript"/>
        </w:rPr>
        <w:t>rys</w:t>
      </w:r>
      <w:proofErr w:type="spellEnd"/>
      <w:r w:rsidRPr="00AC3EE5">
        <w:rPr>
          <w:rFonts w:ascii="Times New Roman" w:eastAsia="Times New Roman" w:hAnsi="Times New Roman"/>
          <w:color w:val="000000"/>
          <w:sz w:val="24"/>
          <w:szCs w:val="24"/>
        </w:rPr>
        <w:t xml:space="preserve"> + </w:t>
      </w:r>
      <w:r w:rsidRPr="00AC3EE5">
        <w:rPr>
          <w:rFonts w:ascii="Times New Roman" w:hAnsi="Times New Roman"/>
          <w:sz w:val="24"/>
          <w:szCs w:val="24"/>
        </w:rPr>
        <w:t>regional and unspecified funds allocated to the recipient) as the upper bound of received disbursements. We therefore have six sets of estimates of aid disbursed to h</w:t>
      </w:r>
      <w:r w:rsidR="00B437AA">
        <w:rPr>
          <w:rFonts w:ascii="Times New Roman" w:hAnsi="Times New Roman"/>
          <w:sz w:val="24"/>
          <w:szCs w:val="24"/>
        </w:rPr>
        <w:t>ealth, RMNCH</w:t>
      </w:r>
      <w:r w:rsidRPr="00AC3EE5">
        <w:rPr>
          <w:rFonts w:ascii="Times New Roman" w:hAnsi="Times New Roman"/>
          <w:sz w:val="24"/>
          <w:szCs w:val="24"/>
        </w:rPr>
        <w:t xml:space="preserve"> (upper/lower bound), food and humanitarian assistance, water and sanitation, and education in 134 low- and middle-income countries. </w:t>
      </w:r>
      <w:r w:rsidRPr="00AC3EE5">
        <w:rPr>
          <w:rFonts w:ascii="Times New Roman" w:hAnsi="Times New Roman"/>
          <w:color w:val="000000"/>
          <w:sz w:val="23"/>
          <w:szCs w:val="23"/>
        </w:rPr>
        <w:t xml:space="preserve">All disbursements are converted into 2013 US dollars. </w:t>
      </w:r>
    </w:p>
    <w:p w:rsidR="00AC3EE5" w:rsidRDefault="00AC3EE5" w:rsidP="003D09F5">
      <w:pPr>
        <w:rPr>
          <w:rFonts w:ascii="Times New Roman" w:hAnsi="Times New Roman" w:cs="Times New Roman"/>
          <w:b/>
          <w:sz w:val="24"/>
          <w:szCs w:val="24"/>
        </w:rPr>
      </w:pPr>
    </w:p>
    <w:p w:rsidR="00150147" w:rsidRDefault="00150147" w:rsidP="003D09F5">
      <w:pPr>
        <w:rPr>
          <w:rFonts w:ascii="Times New Roman" w:hAnsi="Times New Roman" w:cs="Times New Roman"/>
          <w:b/>
          <w:sz w:val="24"/>
          <w:szCs w:val="24"/>
        </w:rPr>
      </w:pPr>
      <w:r w:rsidRPr="00BA20F1">
        <w:rPr>
          <w:rFonts w:ascii="Times New Roman" w:hAnsi="Times New Roman" w:cs="Times New Roman"/>
          <w:b/>
          <w:sz w:val="24"/>
          <w:szCs w:val="24"/>
        </w:rPr>
        <w:t>References</w:t>
      </w:r>
    </w:p>
    <w:p w:rsidR="004A198E" w:rsidRPr="009716A7" w:rsidRDefault="004A198E" w:rsidP="004A198E">
      <w:pPr>
        <w:pStyle w:val="ListParagraph"/>
        <w:numPr>
          <w:ilvl w:val="0"/>
          <w:numId w:val="31"/>
        </w:numPr>
      </w:pPr>
      <w:r w:rsidRPr="009716A7">
        <w:rPr>
          <w:rFonts w:ascii="Times New Roman" w:hAnsi="Times New Roman"/>
          <w:sz w:val="24"/>
          <w:szCs w:val="24"/>
          <w:shd w:val="clear" w:color="auto" w:fill="FFFFFF"/>
        </w:rPr>
        <w:t>OECD (2015) Technical Guide to terms and data in the Creditor Reporting System (CRS) Aid Activities database.</w:t>
      </w:r>
      <w:r w:rsidRPr="009716A7">
        <w:rPr>
          <w:rStyle w:val="apple-converted-space"/>
          <w:rFonts w:ascii="Times New Roman" w:hAnsi="Times New Roman"/>
          <w:sz w:val="24"/>
          <w:szCs w:val="24"/>
          <w:shd w:val="clear" w:color="auto" w:fill="FFFFFF"/>
        </w:rPr>
        <w:t> </w:t>
      </w:r>
      <w:hyperlink r:id="rId7" w:history="1">
        <w:r w:rsidRPr="009716A7">
          <w:rPr>
            <w:rStyle w:val="Hyperlink"/>
            <w:rFonts w:ascii="Times New Roman" w:hAnsi="Times New Roman"/>
            <w:sz w:val="24"/>
            <w:szCs w:val="24"/>
            <w:shd w:val="clear" w:color="auto" w:fill="FFFFFF"/>
          </w:rPr>
          <w:t>http://www.oecd.org/dac/stats/crsguide.htm</w:t>
        </w:r>
      </w:hyperlink>
      <w:r w:rsidRPr="009716A7">
        <w:rPr>
          <w:rStyle w:val="apple-converted-space"/>
          <w:rFonts w:ascii="Times New Roman" w:hAnsi="Times New Roman"/>
          <w:sz w:val="24"/>
          <w:szCs w:val="24"/>
          <w:shd w:val="clear" w:color="auto" w:fill="FFFFFF"/>
        </w:rPr>
        <w:t> </w:t>
      </w:r>
      <w:r w:rsidRPr="009716A7">
        <w:rPr>
          <w:rFonts w:ascii="Times New Roman" w:hAnsi="Times New Roman"/>
          <w:sz w:val="24"/>
          <w:szCs w:val="24"/>
          <w:shd w:val="clear" w:color="auto" w:fill="FFFFFF"/>
        </w:rPr>
        <w:t>Accessed April 21, 2015</w:t>
      </w:r>
    </w:p>
    <w:p w:rsidR="004A198E" w:rsidRPr="009716A7" w:rsidRDefault="004A198E" w:rsidP="004A198E">
      <w:pPr>
        <w:pStyle w:val="ListParagraph"/>
        <w:numPr>
          <w:ilvl w:val="0"/>
          <w:numId w:val="31"/>
        </w:numPr>
        <w:shd w:val="clear" w:color="auto" w:fill="FFFFFF"/>
        <w:rPr>
          <w:rFonts w:ascii="Times New Roman" w:hAnsi="Times New Roman"/>
          <w:sz w:val="24"/>
          <w:szCs w:val="24"/>
        </w:rPr>
      </w:pPr>
      <w:r w:rsidRPr="009716A7">
        <w:rPr>
          <w:rFonts w:ascii="Times New Roman" w:hAnsi="Times New Roman"/>
          <w:sz w:val="24"/>
          <w:szCs w:val="24"/>
        </w:rPr>
        <w:t xml:space="preserve">44. </w:t>
      </w:r>
      <w:hyperlink r:id="rId8" w:history="1">
        <w:r w:rsidRPr="009716A7">
          <w:rPr>
            <w:rStyle w:val="Hyperlink"/>
            <w:rFonts w:ascii="Times New Roman" w:hAnsi="Times New Roman"/>
            <w:sz w:val="24"/>
            <w:szCs w:val="24"/>
          </w:rPr>
          <w:t>http://apps.who.int/nha/database</w:t>
        </w:r>
      </w:hyperlink>
    </w:p>
    <w:p w:rsidR="004A198E" w:rsidRPr="00BF7243" w:rsidRDefault="004A198E" w:rsidP="004A198E">
      <w:pPr>
        <w:pStyle w:val="CommentText"/>
        <w:numPr>
          <w:ilvl w:val="0"/>
          <w:numId w:val="31"/>
        </w:numPr>
        <w:rPr>
          <w:rFonts w:ascii="Times New Roman" w:hAnsi="Times New Roman"/>
          <w:sz w:val="24"/>
          <w:szCs w:val="24"/>
        </w:rPr>
      </w:pPr>
      <w:r w:rsidRPr="00BF7243">
        <w:rPr>
          <w:rFonts w:ascii="Times New Roman" w:hAnsi="Times New Roman"/>
          <w:sz w:val="24"/>
          <w:szCs w:val="24"/>
        </w:rPr>
        <w:t xml:space="preserve">Greco G, Powell-Jackson T, </w:t>
      </w:r>
      <w:proofErr w:type="spellStart"/>
      <w:r w:rsidRPr="00BF7243">
        <w:rPr>
          <w:rFonts w:ascii="Times New Roman" w:hAnsi="Times New Roman"/>
          <w:sz w:val="24"/>
          <w:szCs w:val="24"/>
        </w:rPr>
        <w:t>Borghi</w:t>
      </w:r>
      <w:proofErr w:type="spellEnd"/>
      <w:r w:rsidRPr="00BF7243">
        <w:rPr>
          <w:rFonts w:ascii="Times New Roman" w:hAnsi="Times New Roman"/>
          <w:sz w:val="24"/>
          <w:szCs w:val="24"/>
        </w:rPr>
        <w:t xml:space="preserve"> J, Mills A. (2008) Countdown to 2015: Assessment of Donor Assistance to Maternal, Newborn, and Child Health between 2003 and 2006. Lancet. 371(9620):1268–1275. </w:t>
      </w:r>
      <w:proofErr w:type="spellStart"/>
      <w:proofErr w:type="gramStart"/>
      <w:r w:rsidRPr="00BF7243">
        <w:rPr>
          <w:rFonts w:ascii="Times New Roman" w:hAnsi="Times New Roman"/>
          <w:sz w:val="24"/>
          <w:szCs w:val="24"/>
        </w:rPr>
        <w:t>doi</w:t>
      </w:r>
      <w:proofErr w:type="spellEnd"/>
      <w:proofErr w:type="gramEnd"/>
      <w:r w:rsidRPr="00BF7243">
        <w:rPr>
          <w:rFonts w:ascii="Times New Roman" w:hAnsi="Times New Roman"/>
          <w:sz w:val="24"/>
          <w:szCs w:val="24"/>
        </w:rPr>
        <w:t>: 10.1016/S0140-6736(08)60561-9. pmid:18406861</w:t>
      </w:r>
    </w:p>
    <w:p w:rsidR="004A198E" w:rsidRPr="00BF7243" w:rsidRDefault="004A198E" w:rsidP="004A198E">
      <w:pPr>
        <w:pStyle w:val="CommentText"/>
        <w:numPr>
          <w:ilvl w:val="0"/>
          <w:numId w:val="31"/>
        </w:numPr>
        <w:rPr>
          <w:rFonts w:ascii="Times New Roman" w:hAnsi="Times New Roman"/>
          <w:sz w:val="24"/>
          <w:szCs w:val="24"/>
          <w:shd w:val="clear" w:color="auto" w:fill="FFFFFF"/>
        </w:rPr>
      </w:pPr>
      <w:proofErr w:type="spellStart"/>
      <w:r w:rsidRPr="00BF7243">
        <w:rPr>
          <w:rFonts w:ascii="Times New Roman" w:hAnsi="Times New Roman"/>
          <w:sz w:val="24"/>
          <w:szCs w:val="24"/>
        </w:rPr>
        <w:t>Ravishankar</w:t>
      </w:r>
      <w:proofErr w:type="spellEnd"/>
      <w:r w:rsidRPr="00BF7243">
        <w:rPr>
          <w:rFonts w:ascii="Times New Roman" w:hAnsi="Times New Roman"/>
          <w:sz w:val="24"/>
          <w:szCs w:val="24"/>
        </w:rPr>
        <w:t xml:space="preserve"> N, </w:t>
      </w:r>
      <w:proofErr w:type="spellStart"/>
      <w:r w:rsidRPr="00BF7243">
        <w:rPr>
          <w:rFonts w:ascii="Times New Roman" w:hAnsi="Times New Roman"/>
          <w:sz w:val="24"/>
          <w:szCs w:val="24"/>
        </w:rPr>
        <w:t>Gubbins</w:t>
      </w:r>
      <w:proofErr w:type="spellEnd"/>
      <w:r w:rsidRPr="00BF7243">
        <w:rPr>
          <w:rFonts w:ascii="Times New Roman" w:hAnsi="Times New Roman"/>
          <w:sz w:val="24"/>
          <w:szCs w:val="24"/>
        </w:rPr>
        <w:t xml:space="preserve"> P, Cooley RJ, Leach-Kemon K, Michaud CM, </w:t>
      </w:r>
      <w:proofErr w:type="gramStart"/>
      <w:r w:rsidRPr="00BF7243">
        <w:rPr>
          <w:rFonts w:ascii="Times New Roman" w:hAnsi="Times New Roman"/>
          <w:sz w:val="24"/>
          <w:szCs w:val="24"/>
        </w:rPr>
        <w:t>Jamison</w:t>
      </w:r>
      <w:proofErr w:type="gramEnd"/>
      <w:r w:rsidRPr="00BF7243">
        <w:rPr>
          <w:rFonts w:ascii="Times New Roman" w:hAnsi="Times New Roman"/>
          <w:sz w:val="24"/>
          <w:szCs w:val="24"/>
        </w:rPr>
        <w:t xml:space="preserve"> DT, et al. (2009) Financing global health: tracking development assistance for health from 1990 to 2007. Lancet. 373(9681):2113–2124. </w:t>
      </w:r>
      <w:proofErr w:type="spellStart"/>
      <w:proofErr w:type="gramStart"/>
      <w:r w:rsidRPr="00BF7243">
        <w:rPr>
          <w:rFonts w:ascii="Times New Roman" w:hAnsi="Times New Roman"/>
          <w:sz w:val="24"/>
          <w:szCs w:val="24"/>
        </w:rPr>
        <w:t>doi</w:t>
      </w:r>
      <w:proofErr w:type="spellEnd"/>
      <w:proofErr w:type="gramEnd"/>
      <w:r w:rsidRPr="00BF7243">
        <w:rPr>
          <w:rFonts w:ascii="Times New Roman" w:hAnsi="Times New Roman"/>
          <w:sz w:val="24"/>
          <w:szCs w:val="24"/>
        </w:rPr>
        <w:t>: 10.1016/S0140-6736(09)60881-3. pmid:19541038</w:t>
      </w:r>
      <w:bookmarkStart w:id="0" w:name="pmed.1001834.ref016"/>
      <w:bookmarkEnd w:id="0"/>
    </w:p>
    <w:p w:rsidR="004A198E" w:rsidRPr="009716A7" w:rsidRDefault="004A198E" w:rsidP="004A198E">
      <w:pPr>
        <w:pStyle w:val="ListParagraph"/>
        <w:numPr>
          <w:ilvl w:val="0"/>
          <w:numId w:val="31"/>
        </w:numPr>
        <w:autoSpaceDE w:val="0"/>
        <w:autoSpaceDN w:val="0"/>
        <w:adjustRightInd w:val="0"/>
        <w:spacing w:after="0" w:line="240" w:lineRule="auto"/>
        <w:rPr>
          <w:rFonts w:ascii="Times New Roman" w:hAnsi="Times New Roman"/>
          <w:iCs/>
          <w:sz w:val="24"/>
          <w:szCs w:val="24"/>
        </w:rPr>
      </w:pPr>
      <w:r w:rsidRPr="009716A7">
        <w:rPr>
          <w:rFonts w:ascii="Times New Roman" w:hAnsi="Times New Roman"/>
          <w:iCs/>
          <w:sz w:val="24"/>
          <w:szCs w:val="24"/>
        </w:rPr>
        <w:lastRenderedPageBreak/>
        <w:t xml:space="preserve">Van de </w:t>
      </w:r>
      <w:proofErr w:type="spellStart"/>
      <w:r w:rsidRPr="009716A7">
        <w:rPr>
          <w:rFonts w:ascii="Times New Roman" w:hAnsi="Times New Roman"/>
          <w:iCs/>
          <w:sz w:val="24"/>
          <w:szCs w:val="24"/>
        </w:rPr>
        <w:t>Sijpe</w:t>
      </w:r>
      <w:proofErr w:type="spellEnd"/>
      <w:r w:rsidRPr="009716A7">
        <w:rPr>
          <w:rFonts w:ascii="Times New Roman" w:hAnsi="Times New Roman"/>
          <w:iCs/>
          <w:sz w:val="24"/>
          <w:szCs w:val="24"/>
        </w:rPr>
        <w:t xml:space="preserve"> N. 2012. Is foreign aid fungible? Evidence from the education and health sectors. World Bank Economic Review 27(2), 320-356. </w:t>
      </w:r>
    </w:p>
    <w:p w:rsidR="004A198E" w:rsidRPr="009716A7" w:rsidRDefault="004A198E" w:rsidP="004A198E">
      <w:pPr>
        <w:pStyle w:val="ListParagraph"/>
        <w:numPr>
          <w:ilvl w:val="0"/>
          <w:numId w:val="31"/>
        </w:numPr>
      </w:pPr>
      <w:r w:rsidRPr="00BF7243">
        <w:rPr>
          <w:rFonts w:ascii="Times New Roman" w:hAnsi="Times New Roman"/>
          <w:sz w:val="24"/>
          <w:szCs w:val="24"/>
        </w:rPr>
        <w:t xml:space="preserve">Gilbert BJ, Patel V, Farmer PE, Lu C. Assessing Development Assistance for Mental Health in Developing Countries: 2007–2013. </w:t>
      </w:r>
      <w:proofErr w:type="spellStart"/>
      <w:r w:rsidRPr="00BF7243">
        <w:rPr>
          <w:rFonts w:ascii="Times New Roman" w:hAnsi="Times New Roman"/>
          <w:sz w:val="24"/>
          <w:szCs w:val="24"/>
        </w:rPr>
        <w:t>PLoS</w:t>
      </w:r>
      <w:proofErr w:type="spellEnd"/>
      <w:r w:rsidRPr="00BF7243">
        <w:rPr>
          <w:rFonts w:ascii="Times New Roman" w:hAnsi="Times New Roman"/>
          <w:sz w:val="24"/>
          <w:szCs w:val="24"/>
        </w:rPr>
        <w:t xml:space="preserve"> Med 2015</w:t>
      </w:r>
      <w:proofErr w:type="gramStart"/>
      <w:r w:rsidRPr="00BF7243">
        <w:rPr>
          <w:rFonts w:ascii="Times New Roman" w:hAnsi="Times New Roman"/>
          <w:sz w:val="24"/>
          <w:szCs w:val="24"/>
        </w:rPr>
        <w:t>;12</w:t>
      </w:r>
      <w:proofErr w:type="gramEnd"/>
      <w:r w:rsidRPr="00BF7243">
        <w:rPr>
          <w:rFonts w:ascii="Times New Roman" w:hAnsi="Times New Roman"/>
          <w:sz w:val="24"/>
          <w:szCs w:val="24"/>
        </w:rPr>
        <w:t>(6): e1001834. doi:10.1371/journal.pmed.1001834</w:t>
      </w:r>
    </w:p>
    <w:p w:rsidR="004A198E" w:rsidRPr="00BF7243" w:rsidRDefault="004A198E" w:rsidP="004A198E">
      <w:pPr>
        <w:pStyle w:val="ListParagraph"/>
        <w:numPr>
          <w:ilvl w:val="0"/>
          <w:numId w:val="31"/>
        </w:numPr>
        <w:rPr>
          <w:rFonts w:ascii="Times New Roman" w:hAnsi="Times New Roman"/>
          <w:iCs/>
          <w:sz w:val="24"/>
          <w:szCs w:val="24"/>
        </w:rPr>
      </w:pPr>
      <w:proofErr w:type="spellStart"/>
      <w:r w:rsidRPr="00BF7243">
        <w:rPr>
          <w:rFonts w:ascii="Times New Roman" w:hAnsi="Times New Roman"/>
          <w:iCs/>
          <w:sz w:val="24"/>
          <w:szCs w:val="24"/>
        </w:rPr>
        <w:t>Arregoces</w:t>
      </w:r>
      <w:proofErr w:type="spellEnd"/>
      <w:r w:rsidRPr="00BF7243">
        <w:rPr>
          <w:rFonts w:ascii="Times New Roman" w:hAnsi="Times New Roman"/>
          <w:iCs/>
          <w:sz w:val="24"/>
          <w:szCs w:val="24"/>
        </w:rPr>
        <w:t xml:space="preserve"> L, Daly F, Pitt C, Hsu J, Martinez-Alvarez M, Greco G, Mills </w:t>
      </w:r>
      <w:proofErr w:type="gramStart"/>
      <w:r w:rsidRPr="00BF7243">
        <w:rPr>
          <w:rFonts w:ascii="Times New Roman" w:hAnsi="Times New Roman"/>
          <w:iCs/>
          <w:sz w:val="24"/>
          <w:szCs w:val="24"/>
        </w:rPr>
        <w:t>A</w:t>
      </w:r>
      <w:proofErr w:type="gramEnd"/>
      <w:r w:rsidRPr="00BF7243">
        <w:rPr>
          <w:rFonts w:ascii="Times New Roman" w:hAnsi="Times New Roman"/>
          <w:iCs/>
          <w:sz w:val="24"/>
          <w:szCs w:val="24"/>
        </w:rPr>
        <w:t xml:space="preserve">, Berman P, </w:t>
      </w:r>
      <w:proofErr w:type="spellStart"/>
      <w:r w:rsidRPr="00BF7243">
        <w:rPr>
          <w:rFonts w:ascii="Times New Roman" w:hAnsi="Times New Roman"/>
          <w:iCs/>
          <w:sz w:val="24"/>
          <w:szCs w:val="24"/>
        </w:rPr>
        <w:t>Borghi</w:t>
      </w:r>
      <w:proofErr w:type="spellEnd"/>
      <w:r w:rsidRPr="00BF7243">
        <w:rPr>
          <w:rFonts w:ascii="Times New Roman" w:hAnsi="Times New Roman"/>
          <w:iCs/>
          <w:sz w:val="24"/>
          <w:szCs w:val="24"/>
        </w:rPr>
        <w:t xml:space="preserve"> J. </w:t>
      </w:r>
      <w:r w:rsidRPr="00BF7243">
        <w:rPr>
          <w:rFonts w:ascii="Times New Roman" w:hAnsi="Times New Roman"/>
          <w:bCs/>
          <w:sz w:val="24"/>
          <w:szCs w:val="24"/>
        </w:rPr>
        <w:t>Countdown to 2015: changes in official development assistance to reproductive, maternal, newborn, and child health, and assessment of progress between 2003 and 2012.</w:t>
      </w:r>
      <w:r w:rsidRPr="00BF7243">
        <w:rPr>
          <w:rFonts w:ascii="Times New Roman" w:hAnsi="Times New Roman"/>
          <w:iCs/>
          <w:sz w:val="24"/>
          <w:szCs w:val="24"/>
        </w:rPr>
        <w:t xml:space="preserve"> </w:t>
      </w:r>
      <w:r w:rsidRPr="00BF7243">
        <w:rPr>
          <w:rFonts w:ascii="Times New Roman" w:hAnsi="Times New Roman"/>
          <w:bCs/>
          <w:i/>
          <w:iCs/>
          <w:sz w:val="24"/>
          <w:szCs w:val="24"/>
        </w:rPr>
        <w:t>Lancet Glob Health</w:t>
      </w:r>
      <w:r w:rsidRPr="00BF7243">
        <w:rPr>
          <w:rFonts w:ascii="Times New Roman" w:hAnsi="Times New Roman"/>
          <w:bCs/>
          <w:iCs/>
          <w:sz w:val="24"/>
          <w:szCs w:val="24"/>
        </w:rPr>
        <w:t xml:space="preserve"> </w:t>
      </w:r>
      <w:r w:rsidRPr="00BF7243">
        <w:rPr>
          <w:rFonts w:ascii="Times New Roman" w:hAnsi="Times New Roman"/>
          <w:bCs/>
          <w:sz w:val="24"/>
          <w:szCs w:val="24"/>
        </w:rPr>
        <w:t>2015;3: e410–22</w:t>
      </w:r>
    </w:p>
    <w:p w:rsidR="006C2917" w:rsidRDefault="006C2917" w:rsidP="003D09F5">
      <w:pPr>
        <w:rPr>
          <w:rFonts w:ascii="Times New Roman" w:hAnsi="Times New Roman" w:cs="Times New Roman"/>
          <w:b/>
          <w:sz w:val="24"/>
          <w:szCs w:val="24"/>
        </w:rPr>
      </w:pPr>
    </w:p>
    <w:p w:rsidR="00045A94" w:rsidRDefault="00045A94" w:rsidP="0049056A">
      <w:pPr>
        <w:spacing w:line="240" w:lineRule="auto"/>
        <w:contextualSpacing/>
        <w:rPr>
          <w:rFonts w:ascii="Times New Roman" w:hAnsi="Times New Roman" w:cs="Times New Roman"/>
          <w:b/>
          <w:sz w:val="24"/>
          <w:szCs w:val="24"/>
        </w:rPr>
      </w:pPr>
      <w:bookmarkStart w:id="1" w:name="_GoBack"/>
      <w:bookmarkEnd w:id="1"/>
    </w:p>
    <w:sectPr w:rsidR="00045A94" w:rsidSect="009A2BD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844" w:rsidRDefault="00335844" w:rsidP="0059218B">
      <w:pPr>
        <w:spacing w:after="0" w:line="240" w:lineRule="auto"/>
      </w:pPr>
      <w:r>
        <w:separator/>
      </w:r>
    </w:p>
  </w:endnote>
  <w:endnote w:type="continuationSeparator" w:id="0">
    <w:p w:rsidR="00335844" w:rsidRDefault="00335844" w:rsidP="00592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calaLancetPro">
    <w:altName w:val="Times New Roman"/>
    <w:panose1 w:val="00000000000000000000"/>
    <w:charset w:val="00"/>
    <w:family w:val="roman"/>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Shaker2Lancet-Regular">
    <w:altName w:val="MS Gothic"/>
    <w:panose1 w:val="00000000000000000000"/>
    <w:charset w:val="80"/>
    <w:family w:val="auto"/>
    <w:notTrueType/>
    <w:pitch w:val="default"/>
    <w:sig w:usb0="00000000" w:usb1="080F0000" w:usb2="00000010" w:usb3="00000000" w:csb0="0006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723358"/>
      <w:docPartObj>
        <w:docPartGallery w:val="Page Numbers (Bottom of Page)"/>
        <w:docPartUnique/>
      </w:docPartObj>
    </w:sdtPr>
    <w:sdtEndPr>
      <w:rPr>
        <w:noProof/>
      </w:rPr>
    </w:sdtEndPr>
    <w:sdtContent>
      <w:p w:rsidR="004301A8" w:rsidRDefault="009A3EA5">
        <w:pPr>
          <w:pStyle w:val="Footer"/>
          <w:jc w:val="right"/>
        </w:pPr>
        <w:r>
          <w:fldChar w:fldCharType="begin"/>
        </w:r>
        <w:r w:rsidR="00670044">
          <w:instrText xml:space="preserve"> PAGE   \* MERGEFORMAT </w:instrText>
        </w:r>
        <w:r>
          <w:fldChar w:fldCharType="separate"/>
        </w:r>
        <w:r w:rsidR="009E6DC8">
          <w:rPr>
            <w:noProof/>
          </w:rPr>
          <w:t>1</w:t>
        </w:r>
        <w:r>
          <w:rPr>
            <w:noProof/>
          </w:rPr>
          <w:fldChar w:fldCharType="end"/>
        </w:r>
      </w:p>
    </w:sdtContent>
  </w:sdt>
  <w:p w:rsidR="004301A8" w:rsidRDefault="00430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844" w:rsidRDefault="00335844" w:rsidP="0059218B">
      <w:pPr>
        <w:spacing w:after="0" w:line="240" w:lineRule="auto"/>
      </w:pPr>
      <w:r>
        <w:separator/>
      </w:r>
    </w:p>
  </w:footnote>
  <w:footnote w:type="continuationSeparator" w:id="0">
    <w:p w:rsidR="00335844" w:rsidRDefault="00335844" w:rsidP="005921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E30"/>
    <w:multiLevelType w:val="hybridMultilevel"/>
    <w:tmpl w:val="3630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526A9"/>
    <w:multiLevelType w:val="hybridMultilevel"/>
    <w:tmpl w:val="DC74FA5A"/>
    <w:lvl w:ilvl="0" w:tplc="10FE4080">
      <w:start w:val="5"/>
      <w:numFmt w:val="bullet"/>
      <w:lvlText w:val="-"/>
      <w:lvlJc w:val="left"/>
      <w:pPr>
        <w:ind w:left="720" w:hanging="360"/>
      </w:pPr>
      <w:rPr>
        <w:rFonts w:ascii="Times New Roman" w:eastAsia="ScalaLancetPr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73D48"/>
    <w:multiLevelType w:val="hybridMultilevel"/>
    <w:tmpl w:val="48BE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B794C"/>
    <w:multiLevelType w:val="hybridMultilevel"/>
    <w:tmpl w:val="1CFC3800"/>
    <w:lvl w:ilvl="0" w:tplc="F13A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007A8"/>
    <w:multiLevelType w:val="hybridMultilevel"/>
    <w:tmpl w:val="2E7CD9FE"/>
    <w:lvl w:ilvl="0" w:tplc="A9B4D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467D9"/>
    <w:multiLevelType w:val="hybridMultilevel"/>
    <w:tmpl w:val="C63E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C440A"/>
    <w:multiLevelType w:val="hybridMultilevel"/>
    <w:tmpl w:val="56B019F8"/>
    <w:lvl w:ilvl="0" w:tplc="F2BA5C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30A70"/>
    <w:multiLevelType w:val="hybridMultilevel"/>
    <w:tmpl w:val="660C35AE"/>
    <w:lvl w:ilvl="0" w:tplc="69D6C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63308"/>
    <w:multiLevelType w:val="hybridMultilevel"/>
    <w:tmpl w:val="B60EC15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54ABD"/>
    <w:multiLevelType w:val="hybridMultilevel"/>
    <w:tmpl w:val="DE2CF102"/>
    <w:lvl w:ilvl="0" w:tplc="7CB6E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A3B42"/>
    <w:multiLevelType w:val="hybridMultilevel"/>
    <w:tmpl w:val="316C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A07DD"/>
    <w:multiLevelType w:val="hybridMultilevel"/>
    <w:tmpl w:val="931AF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65A9D"/>
    <w:multiLevelType w:val="hybridMultilevel"/>
    <w:tmpl w:val="B3AC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B05A7"/>
    <w:multiLevelType w:val="hybridMultilevel"/>
    <w:tmpl w:val="DCD09C7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A2FB0"/>
    <w:multiLevelType w:val="hybridMultilevel"/>
    <w:tmpl w:val="B944FB0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C58AB"/>
    <w:multiLevelType w:val="hybridMultilevel"/>
    <w:tmpl w:val="CA0853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07F6E"/>
    <w:multiLevelType w:val="hybridMultilevel"/>
    <w:tmpl w:val="35927054"/>
    <w:lvl w:ilvl="0" w:tplc="8D429E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5779D4"/>
    <w:multiLevelType w:val="hybridMultilevel"/>
    <w:tmpl w:val="80583A5E"/>
    <w:lvl w:ilvl="0" w:tplc="DA0A5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811B4"/>
    <w:multiLevelType w:val="hybridMultilevel"/>
    <w:tmpl w:val="E01C171C"/>
    <w:lvl w:ilvl="0" w:tplc="753E312C">
      <w:start w:val="1"/>
      <w:numFmt w:val="lowerLetter"/>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038EB"/>
    <w:multiLevelType w:val="hybridMultilevel"/>
    <w:tmpl w:val="AC9C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B613E"/>
    <w:multiLevelType w:val="hybridMultilevel"/>
    <w:tmpl w:val="BC26ABD4"/>
    <w:lvl w:ilvl="0" w:tplc="C1B27C1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F0C06"/>
    <w:multiLevelType w:val="hybridMultilevel"/>
    <w:tmpl w:val="0B2E2BFA"/>
    <w:lvl w:ilvl="0" w:tplc="60D68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63050A"/>
    <w:multiLevelType w:val="hybridMultilevel"/>
    <w:tmpl w:val="5488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06435"/>
    <w:multiLevelType w:val="hybridMultilevel"/>
    <w:tmpl w:val="395E56A4"/>
    <w:lvl w:ilvl="0" w:tplc="18F2791A">
      <w:start w:val="1"/>
      <w:numFmt w:val="decimal"/>
      <w:lvlText w:val="%1."/>
      <w:lvlJc w:val="left"/>
      <w:pPr>
        <w:ind w:left="720" w:hanging="360"/>
      </w:pPr>
      <w:rPr>
        <w:rFonts w:ascii="Times New Roman" w:eastAsia="Shaker2Lancet-Regular"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E30010"/>
    <w:multiLevelType w:val="hybridMultilevel"/>
    <w:tmpl w:val="E01C171C"/>
    <w:lvl w:ilvl="0" w:tplc="753E312C">
      <w:start w:val="1"/>
      <w:numFmt w:val="lowerLetter"/>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DA2754"/>
    <w:multiLevelType w:val="hybridMultilevel"/>
    <w:tmpl w:val="3D94E5C2"/>
    <w:lvl w:ilvl="0" w:tplc="1CBCA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9311D6"/>
    <w:multiLevelType w:val="hybridMultilevel"/>
    <w:tmpl w:val="843EA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1032E0"/>
    <w:multiLevelType w:val="hybridMultilevel"/>
    <w:tmpl w:val="ED603FB4"/>
    <w:lvl w:ilvl="0" w:tplc="93FA7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63438"/>
    <w:multiLevelType w:val="hybridMultilevel"/>
    <w:tmpl w:val="E4D8F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01A5E"/>
    <w:multiLevelType w:val="hybridMultilevel"/>
    <w:tmpl w:val="B276E808"/>
    <w:lvl w:ilvl="0" w:tplc="20408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D33870"/>
    <w:multiLevelType w:val="hybridMultilevel"/>
    <w:tmpl w:val="07908FEC"/>
    <w:lvl w:ilvl="0" w:tplc="247AD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2A502C"/>
    <w:multiLevelType w:val="hybridMultilevel"/>
    <w:tmpl w:val="4E3CC2BC"/>
    <w:lvl w:ilvl="0" w:tplc="E74E273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543EFE"/>
    <w:multiLevelType w:val="hybridMultilevel"/>
    <w:tmpl w:val="70AA8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AA7A66"/>
    <w:multiLevelType w:val="hybridMultilevel"/>
    <w:tmpl w:val="67A23DCE"/>
    <w:lvl w:ilvl="0" w:tplc="FA5A0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422E84"/>
    <w:multiLevelType w:val="hybridMultilevel"/>
    <w:tmpl w:val="00CAC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A34F3"/>
    <w:multiLevelType w:val="hybridMultilevel"/>
    <w:tmpl w:val="8BE8DB38"/>
    <w:lvl w:ilvl="0" w:tplc="D890A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E8480F"/>
    <w:multiLevelType w:val="hybridMultilevel"/>
    <w:tmpl w:val="C7E416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BEA08AC"/>
    <w:multiLevelType w:val="hybridMultilevel"/>
    <w:tmpl w:val="2F820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B1712B"/>
    <w:multiLevelType w:val="hybridMultilevel"/>
    <w:tmpl w:val="7CF4FD0E"/>
    <w:lvl w:ilvl="0" w:tplc="7CB6E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9"/>
  </w:num>
  <w:num w:numId="4">
    <w:abstractNumId w:val="12"/>
  </w:num>
  <w:num w:numId="5">
    <w:abstractNumId w:val="29"/>
  </w:num>
  <w:num w:numId="6">
    <w:abstractNumId w:val="6"/>
  </w:num>
  <w:num w:numId="7">
    <w:abstractNumId w:val="27"/>
  </w:num>
  <w:num w:numId="8">
    <w:abstractNumId w:val="3"/>
  </w:num>
  <w:num w:numId="9">
    <w:abstractNumId w:val="16"/>
  </w:num>
  <w:num w:numId="10">
    <w:abstractNumId w:val="32"/>
  </w:num>
  <w:num w:numId="11">
    <w:abstractNumId w:val="14"/>
  </w:num>
  <w:num w:numId="12">
    <w:abstractNumId w:val="34"/>
  </w:num>
  <w:num w:numId="13">
    <w:abstractNumId w:val="37"/>
  </w:num>
  <w:num w:numId="14">
    <w:abstractNumId w:val="28"/>
  </w:num>
  <w:num w:numId="15">
    <w:abstractNumId w:val="35"/>
  </w:num>
  <w:num w:numId="16">
    <w:abstractNumId w:val="33"/>
  </w:num>
  <w:num w:numId="17">
    <w:abstractNumId w:val="9"/>
  </w:num>
  <w:num w:numId="18">
    <w:abstractNumId w:val="38"/>
  </w:num>
  <w:num w:numId="19">
    <w:abstractNumId w:val="21"/>
  </w:num>
  <w:num w:numId="20">
    <w:abstractNumId w:val="26"/>
  </w:num>
  <w:num w:numId="21">
    <w:abstractNumId w:val="11"/>
  </w:num>
  <w:num w:numId="22">
    <w:abstractNumId w:val="8"/>
  </w:num>
  <w:num w:numId="23">
    <w:abstractNumId w:val="13"/>
  </w:num>
  <w:num w:numId="24">
    <w:abstractNumId w:val="2"/>
  </w:num>
  <w:num w:numId="25">
    <w:abstractNumId w:val="5"/>
  </w:num>
  <w:num w:numId="26">
    <w:abstractNumId w:val="30"/>
  </w:num>
  <w:num w:numId="27">
    <w:abstractNumId w:val="31"/>
  </w:num>
  <w:num w:numId="28">
    <w:abstractNumId w:val="20"/>
  </w:num>
  <w:num w:numId="29">
    <w:abstractNumId w:val="1"/>
  </w:num>
  <w:num w:numId="30">
    <w:abstractNumId w:val="36"/>
  </w:num>
  <w:num w:numId="31">
    <w:abstractNumId w:val="23"/>
  </w:num>
  <w:num w:numId="32">
    <w:abstractNumId w:val="0"/>
  </w:num>
  <w:num w:numId="33">
    <w:abstractNumId w:val="7"/>
  </w:num>
  <w:num w:numId="34">
    <w:abstractNumId w:val="25"/>
  </w:num>
  <w:num w:numId="35">
    <w:abstractNumId w:val="4"/>
  </w:num>
  <w:num w:numId="36">
    <w:abstractNumId w:val="15"/>
  </w:num>
  <w:num w:numId="37">
    <w:abstractNumId w:val="10"/>
  </w:num>
  <w:num w:numId="38">
    <w:abstractNumId w:val="18"/>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01496"/>
    <w:rsid w:val="00006555"/>
    <w:rsid w:val="00014222"/>
    <w:rsid w:val="000142F4"/>
    <w:rsid w:val="00015FD4"/>
    <w:rsid w:val="00020546"/>
    <w:rsid w:val="000259E3"/>
    <w:rsid w:val="00044A4C"/>
    <w:rsid w:val="000459F3"/>
    <w:rsid w:val="00045A94"/>
    <w:rsid w:val="000463CF"/>
    <w:rsid w:val="0004649B"/>
    <w:rsid w:val="00050C66"/>
    <w:rsid w:val="000533D0"/>
    <w:rsid w:val="000550E1"/>
    <w:rsid w:val="0005588F"/>
    <w:rsid w:val="000625C1"/>
    <w:rsid w:val="00076A29"/>
    <w:rsid w:val="0007782E"/>
    <w:rsid w:val="00082075"/>
    <w:rsid w:val="0008471D"/>
    <w:rsid w:val="000869A9"/>
    <w:rsid w:val="00087B4F"/>
    <w:rsid w:val="00090A98"/>
    <w:rsid w:val="00092E19"/>
    <w:rsid w:val="000942F2"/>
    <w:rsid w:val="00095956"/>
    <w:rsid w:val="000B0620"/>
    <w:rsid w:val="000C03B1"/>
    <w:rsid w:val="000C1610"/>
    <w:rsid w:val="000C3EA7"/>
    <w:rsid w:val="000D7754"/>
    <w:rsid w:val="000E022A"/>
    <w:rsid w:val="000E608D"/>
    <w:rsid w:val="000F0ABF"/>
    <w:rsid w:val="000F2305"/>
    <w:rsid w:val="001024DF"/>
    <w:rsid w:val="001058B7"/>
    <w:rsid w:val="001072F8"/>
    <w:rsid w:val="0011285E"/>
    <w:rsid w:val="00125377"/>
    <w:rsid w:val="00130326"/>
    <w:rsid w:val="0013481F"/>
    <w:rsid w:val="001348DD"/>
    <w:rsid w:val="00134E04"/>
    <w:rsid w:val="0013591A"/>
    <w:rsid w:val="00147F7B"/>
    <w:rsid w:val="00150147"/>
    <w:rsid w:val="001539EE"/>
    <w:rsid w:val="001627BF"/>
    <w:rsid w:val="00167E37"/>
    <w:rsid w:val="00180B8F"/>
    <w:rsid w:val="00192AF8"/>
    <w:rsid w:val="0019550D"/>
    <w:rsid w:val="001A5BED"/>
    <w:rsid w:val="001C59D4"/>
    <w:rsid w:val="001D559A"/>
    <w:rsid w:val="001E553C"/>
    <w:rsid w:val="001E597C"/>
    <w:rsid w:val="001E5BE1"/>
    <w:rsid w:val="001E7615"/>
    <w:rsid w:val="001F26F5"/>
    <w:rsid w:val="0020235B"/>
    <w:rsid w:val="002157CA"/>
    <w:rsid w:val="002222AC"/>
    <w:rsid w:val="0022679D"/>
    <w:rsid w:val="00226ECD"/>
    <w:rsid w:val="00241A32"/>
    <w:rsid w:val="002473DF"/>
    <w:rsid w:val="00251977"/>
    <w:rsid w:val="00256851"/>
    <w:rsid w:val="00260D38"/>
    <w:rsid w:val="002637BD"/>
    <w:rsid w:val="002658C1"/>
    <w:rsid w:val="0026663E"/>
    <w:rsid w:val="00273E70"/>
    <w:rsid w:val="00282729"/>
    <w:rsid w:val="0028589C"/>
    <w:rsid w:val="00291F2D"/>
    <w:rsid w:val="00292788"/>
    <w:rsid w:val="002A465B"/>
    <w:rsid w:val="002A4F87"/>
    <w:rsid w:val="002B0A84"/>
    <w:rsid w:val="002B0BD3"/>
    <w:rsid w:val="002C546C"/>
    <w:rsid w:val="002E3159"/>
    <w:rsid w:val="00301AF4"/>
    <w:rsid w:val="00311FAF"/>
    <w:rsid w:val="00326BFE"/>
    <w:rsid w:val="003331B0"/>
    <w:rsid w:val="00335844"/>
    <w:rsid w:val="00336360"/>
    <w:rsid w:val="0034072E"/>
    <w:rsid w:val="00343D6E"/>
    <w:rsid w:val="00344774"/>
    <w:rsid w:val="00355895"/>
    <w:rsid w:val="00362F31"/>
    <w:rsid w:val="00364CE9"/>
    <w:rsid w:val="0037169D"/>
    <w:rsid w:val="003816AA"/>
    <w:rsid w:val="003857B5"/>
    <w:rsid w:val="00386561"/>
    <w:rsid w:val="0039222E"/>
    <w:rsid w:val="00392C4A"/>
    <w:rsid w:val="003A0085"/>
    <w:rsid w:val="003A31CF"/>
    <w:rsid w:val="003A4D53"/>
    <w:rsid w:val="003A71AA"/>
    <w:rsid w:val="003D09F5"/>
    <w:rsid w:val="003D0F61"/>
    <w:rsid w:val="003D404D"/>
    <w:rsid w:val="003E32DD"/>
    <w:rsid w:val="003E5D33"/>
    <w:rsid w:val="003E5FF1"/>
    <w:rsid w:val="003F1A5A"/>
    <w:rsid w:val="003F2AF2"/>
    <w:rsid w:val="003F4C88"/>
    <w:rsid w:val="003F7027"/>
    <w:rsid w:val="00400D00"/>
    <w:rsid w:val="004023AA"/>
    <w:rsid w:val="00410A28"/>
    <w:rsid w:val="004121DA"/>
    <w:rsid w:val="004156DC"/>
    <w:rsid w:val="00425B4E"/>
    <w:rsid w:val="004301A8"/>
    <w:rsid w:val="00430C6B"/>
    <w:rsid w:val="004310CD"/>
    <w:rsid w:val="0043722A"/>
    <w:rsid w:val="004426D1"/>
    <w:rsid w:val="00442F4F"/>
    <w:rsid w:val="004476B6"/>
    <w:rsid w:val="00451164"/>
    <w:rsid w:val="004537F8"/>
    <w:rsid w:val="00462B49"/>
    <w:rsid w:val="00462F7C"/>
    <w:rsid w:val="00471B4F"/>
    <w:rsid w:val="0047404B"/>
    <w:rsid w:val="00475F67"/>
    <w:rsid w:val="004810F9"/>
    <w:rsid w:val="00481E6E"/>
    <w:rsid w:val="0049056A"/>
    <w:rsid w:val="004A198E"/>
    <w:rsid w:val="004B0F73"/>
    <w:rsid w:val="004B7FC6"/>
    <w:rsid w:val="004D2ACE"/>
    <w:rsid w:val="004D41DD"/>
    <w:rsid w:val="004D5E88"/>
    <w:rsid w:val="004D76EF"/>
    <w:rsid w:val="004E5978"/>
    <w:rsid w:val="004F40BB"/>
    <w:rsid w:val="004F55C0"/>
    <w:rsid w:val="004F7786"/>
    <w:rsid w:val="00506E27"/>
    <w:rsid w:val="0051497B"/>
    <w:rsid w:val="0052319B"/>
    <w:rsid w:val="00525F36"/>
    <w:rsid w:val="00532319"/>
    <w:rsid w:val="005361A9"/>
    <w:rsid w:val="00540164"/>
    <w:rsid w:val="00541724"/>
    <w:rsid w:val="00543FED"/>
    <w:rsid w:val="00544C31"/>
    <w:rsid w:val="005461D5"/>
    <w:rsid w:val="005538E5"/>
    <w:rsid w:val="00557BCA"/>
    <w:rsid w:val="005602A9"/>
    <w:rsid w:val="005736CC"/>
    <w:rsid w:val="00573AAD"/>
    <w:rsid w:val="00583599"/>
    <w:rsid w:val="00590883"/>
    <w:rsid w:val="005918F9"/>
    <w:rsid w:val="0059218B"/>
    <w:rsid w:val="005B1418"/>
    <w:rsid w:val="005C5506"/>
    <w:rsid w:val="005D46C5"/>
    <w:rsid w:val="005D4FAB"/>
    <w:rsid w:val="005D7D85"/>
    <w:rsid w:val="005E239B"/>
    <w:rsid w:val="005E5131"/>
    <w:rsid w:val="005F0CA7"/>
    <w:rsid w:val="005F45BE"/>
    <w:rsid w:val="005F4637"/>
    <w:rsid w:val="005F4ACF"/>
    <w:rsid w:val="00606425"/>
    <w:rsid w:val="00607695"/>
    <w:rsid w:val="00607A0A"/>
    <w:rsid w:val="00642E56"/>
    <w:rsid w:val="006659F9"/>
    <w:rsid w:val="00667013"/>
    <w:rsid w:val="006672DF"/>
    <w:rsid w:val="00670044"/>
    <w:rsid w:val="006806A1"/>
    <w:rsid w:val="006808A3"/>
    <w:rsid w:val="00693552"/>
    <w:rsid w:val="006A2603"/>
    <w:rsid w:val="006A73C2"/>
    <w:rsid w:val="006A7704"/>
    <w:rsid w:val="006B2074"/>
    <w:rsid w:val="006B3D83"/>
    <w:rsid w:val="006C2917"/>
    <w:rsid w:val="006C7CAD"/>
    <w:rsid w:val="006D23B4"/>
    <w:rsid w:val="006D7563"/>
    <w:rsid w:val="006D7C92"/>
    <w:rsid w:val="006E47DF"/>
    <w:rsid w:val="006E5D0B"/>
    <w:rsid w:val="007005CE"/>
    <w:rsid w:val="00701A27"/>
    <w:rsid w:val="00711B60"/>
    <w:rsid w:val="00713F10"/>
    <w:rsid w:val="00717821"/>
    <w:rsid w:val="00722D09"/>
    <w:rsid w:val="00741EAD"/>
    <w:rsid w:val="00741FE7"/>
    <w:rsid w:val="00745834"/>
    <w:rsid w:val="00750B46"/>
    <w:rsid w:val="0075269B"/>
    <w:rsid w:val="00754445"/>
    <w:rsid w:val="00794E35"/>
    <w:rsid w:val="007A0733"/>
    <w:rsid w:val="007A137B"/>
    <w:rsid w:val="007A36CB"/>
    <w:rsid w:val="007A4F01"/>
    <w:rsid w:val="007B0B23"/>
    <w:rsid w:val="007B1FD9"/>
    <w:rsid w:val="007C0BE2"/>
    <w:rsid w:val="007E2F47"/>
    <w:rsid w:val="007F3D19"/>
    <w:rsid w:val="00835FCB"/>
    <w:rsid w:val="008363E2"/>
    <w:rsid w:val="00843496"/>
    <w:rsid w:val="008506DA"/>
    <w:rsid w:val="00865DDA"/>
    <w:rsid w:val="0087476D"/>
    <w:rsid w:val="00883010"/>
    <w:rsid w:val="008843CE"/>
    <w:rsid w:val="008956D7"/>
    <w:rsid w:val="008B1478"/>
    <w:rsid w:val="008C032D"/>
    <w:rsid w:val="008C1943"/>
    <w:rsid w:val="008C495C"/>
    <w:rsid w:val="008D05D3"/>
    <w:rsid w:val="008D1CAB"/>
    <w:rsid w:val="008D2006"/>
    <w:rsid w:val="008E06AC"/>
    <w:rsid w:val="008E117B"/>
    <w:rsid w:val="008E4323"/>
    <w:rsid w:val="008E4EA0"/>
    <w:rsid w:val="008F7CBE"/>
    <w:rsid w:val="0090740A"/>
    <w:rsid w:val="00921A95"/>
    <w:rsid w:val="009327B3"/>
    <w:rsid w:val="00960AC3"/>
    <w:rsid w:val="00962674"/>
    <w:rsid w:val="00964D8F"/>
    <w:rsid w:val="00983989"/>
    <w:rsid w:val="009928A6"/>
    <w:rsid w:val="009A2BD6"/>
    <w:rsid w:val="009A3EA5"/>
    <w:rsid w:val="009A678B"/>
    <w:rsid w:val="009B14D6"/>
    <w:rsid w:val="009B40DC"/>
    <w:rsid w:val="009B6001"/>
    <w:rsid w:val="009C0515"/>
    <w:rsid w:val="009C675B"/>
    <w:rsid w:val="009C6ED3"/>
    <w:rsid w:val="009D7558"/>
    <w:rsid w:val="009E6DC8"/>
    <w:rsid w:val="009F052D"/>
    <w:rsid w:val="009F2F0C"/>
    <w:rsid w:val="00A053A1"/>
    <w:rsid w:val="00A105A8"/>
    <w:rsid w:val="00A11EF2"/>
    <w:rsid w:val="00A17344"/>
    <w:rsid w:val="00A1780E"/>
    <w:rsid w:val="00A20C6A"/>
    <w:rsid w:val="00A30AD4"/>
    <w:rsid w:val="00A3280C"/>
    <w:rsid w:val="00A4053F"/>
    <w:rsid w:val="00A43807"/>
    <w:rsid w:val="00A45134"/>
    <w:rsid w:val="00A53BD3"/>
    <w:rsid w:val="00A61A8F"/>
    <w:rsid w:val="00A64FC1"/>
    <w:rsid w:val="00A7670A"/>
    <w:rsid w:val="00A82E22"/>
    <w:rsid w:val="00A83E68"/>
    <w:rsid w:val="00AA29B6"/>
    <w:rsid w:val="00AA79E5"/>
    <w:rsid w:val="00AC0F4B"/>
    <w:rsid w:val="00AC39D9"/>
    <w:rsid w:val="00AC3CDC"/>
    <w:rsid w:val="00AC3EE5"/>
    <w:rsid w:val="00AC4C0B"/>
    <w:rsid w:val="00AD2083"/>
    <w:rsid w:val="00AD54C1"/>
    <w:rsid w:val="00AD59F4"/>
    <w:rsid w:val="00AE09FC"/>
    <w:rsid w:val="00AF1ECD"/>
    <w:rsid w:val="00AF523F"/>
    <w:rsid w:val="00AF6930"/>
    <w:rsid w:val="00B05B0D"/>
    <w:rsid w:val="00B1250D"/>
    <w:rsid w:val="00B165A2"/>
    <w:rsid w:val="00B21D09"/>
    <w:rsid w:val="00B33066"/>
    <w:rsid w:val="00B34EC7"/>
    <w:rsid w:val="00B437AA"/>
    <w:rsid w:val="00B45769"/>
    <w:rsid w:val="00B469DD"/>
    <w:rsid w:val="00B50393"/>
    <w:rsid w:val="00B51918"/>
    <w:rsid w:val="00B53172"/>
    <w:rsid w:val="00B55D19"/>
    <w:rsid w:val="00B60D99"/>
    <w:rsid w:val="00B6162E"/>
    <w:rsid w:val="00B702A0"/>
    <w:rsid w:val="00B710E4"/>
    <w:rsid w:val="00B721C1"/>
    <w:rsid w:val="00B74517"/>
    <w:rsid w:val="00B75427"/>
    <w:rsid w:val="00B808AD"/>
    <w:rsid w:val="00B81981"/>
    <w:rsid w:val="00B823F3"/>
    <w:rsid w:val="00B8343D"/>
    <w:rsid w:val="00B84A4F"/>
    <w:rsid w:val="00BA19F6"/>
    <w:rsid w:val="00BA20F1"/>
    <w:rsid w:val="00BA4C8E"/>
    <w:rsid w:val="00BB14B4"/>
    <w:rsid w:val="00BB1CBA"/>
    <w:rsid w:val="00BD3F52"/>
    <w:rsid w:val="00BE3D7B"/>
    <w:rsid w:val="00BE5D08"/>
    <w:rsid w:val="00BF075C"/>
    <w:rsid w:val="00BF4DCD"/>
    <w:rsid w:val="00BF68E3"/>
    <w:rsid w:val="00C019A8"/>
    <w:rsid w:val="00C10798"/>
    <w:rsid w:val="00C13A99"/>
    <w:rsid w:val="00C261F5"/>
    <w:rsid w:val="00C264E6"/>
    <w:rsid w:val="00C36686"/>
    <w:rsid w:val="00C424F8"/>
    <w:rsid w:val="00C4342B"/>
    <w:rsid w:val="00C67595"/>
    <w:rsid w:val="00C75798"/>
    <w:rsid w:val="00C76E4F"/>
    <w:rsid w:val="00C829BF"/>
    <w:rsid w:val="00C94F29"/>
    <w:rsid w:val="00C97CC5"/>
    <w:rsid w:val="00CA2B80"/>
    <w:rsid w:val="00CB04C3"/>
    <w:rsid w:val="00CB255F"/>
    <w:rsid w:val="00CC13AA"/>
    <w:rsid w:val="00CC694F"/>
    <w:rsid w:val="00CC7530"/>
    <w:rsid w:val="00CD2BFE"/>
    <w:rsid w:val="00CD79F0"/>
    <w:rsid w:val="00CD7A11"/>
    <w:rsid w:val="00CE1234"/>
    <w:rsid w:val="00CE37B4"/>
    <w:rsid w:val="00CE4F9C"/>
    <w:rsid w:val="00CE66B8"/>
    <w:rsid w:val="00CF14EF"/>
    <w:rsid w:val="00CF3272"/>
    <w:rsid w:val="00D01336"/>
    <w:rsid w:val="00D01496"/>
    <w:rsid w:val="00D117D6"/>
    <w:rsid w:val="00D12588"/>
    <w:rsid w:val="00D15072"/>
    <w:rsid w:val="00D251CD"/>
    <w:rsid w:val="00D300D9"/>
    <w:rsid w:val="00D33A1F"/>
    <w:rsid w:val="00D42DBA"/>
    <w:rsid w:val="00D446BD"/>
    <w:rsid w:val="00D472CF"/>
    <w:rsid w:val="00D90228"/>
    <w:rsid w:val="00D91102"/>
    <w:rsid w:val="00DB24F0"/>
    <w:rsid w:val="00DC7E46"/>
    <w:rsid w:val="00DD010D"/>
    <w:rsid w:val="00DD1DE3"/>
    <w:rsid w:val="00DD2FE6"/>
    <w:rsid w:val="00DE2BA4"/>
    <w:rsid w:val="00DE3D39"/>
    <w:rsid w:val="00DE46DF"/>
    <w:rsid w:val="00DE5F25"/>
    <w:rsid w:val="00DE7D8F"/>
    <w:rsid w:val="00DF6262"/>
    <w:rsid w:val="00E11EF5"/>
    <w:rsid w:val="00E2585A"/>
    <w:rsid w:val="00E4221E"/>
    <w:rsid w:val="00E501CB"/>
    <w:rsid w:val="00E72784"/>
    <w:rsid w:val="00E7602C"/>
    <w:rsid w:val="00E77736"/>
    <w:rsid w:val="00E8525E"/>
    <w:rsid w:val="00E8797E"/>
    <w:rsid w:val="00E97440"/>
    <w:rsid w:val="00EB0BC8"/>
    <w:rsid w:val="00EB11F4"/>
    <w:rsid w:val="00EB70EF"/>
    <w:rsid w:val="00ED5148"/>
    <w:rsid w:val="00ED694D"/>
    <w:rsid w:val="00EE03E1"/>
    <w:rsid w:val="00EE1981"/>
    <w:rsid w:val="00EE5E7C"/>
    <w:rsid w:val="00F01D88"/>
    <w:rsid w:val="00F15F3C"/>
    <w:rsid w:val="00F230AA"/>
    <w:rsid w:val="00F53AA3"/>
    <w:rsid w:val="00F54CC6"/>
    <w:rsid w:val="00F62711"/>
    <w:rsid w:val="00F62C1F"/>
    <w:rsid w:val="00F63A52"/>
    <w:rsid w:val="00F63C71"/>
    <w:rsid w:val="00F64C97"/>
    <w:rsid w:val="00F65710"/>
    <w:rsid w:val="00F67C83"/>
    <w:rsid w:val="00F7019E"/>
    <w:rsid w:val="00F730A0"/>
    <w:rsid w:val="00F80D2E"/>
    <w:rsid w:val="00F84D75"/>
    <w:rsid w:val="00F92E2B"/>
    <w:rsid w:val="00F94723"/>
    <w:rsid w:val="00FA33C2"/>
    <w:rsid w:val="00FB1247"/>
    <w:rsid w:val="00FB1537"/>
    <w:rsid w:val="00FB62D4"/>
    <w:rsid w:val="00FC03FE"/>
    <w:rsid w:val="00FC332B"/>
    <w:rsid w:val="00FC70E4"/>
    <w:rsid w:val="00FD6A4D"/>
    <w:rsid w:val="00FF39DF"/>
    <w:rsid w:val="00FF7C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11"/>
  </w:style>
  <w:style w:type="paragraph" w:styleId="Heading2">
    <w:name w:val="heading 2"/>
    <w:basedOn w:val="Normal"/>
    <w:next w:val="Normal"/>
    <w:link w:val="Heading2Char"/>
    <w:uiPriority w:val="9"/>
    <w:unhideWhenUsed/>
    <w:qFormat/>
    <w:rsid w:val="00AD208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94E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96"/>
    <w:rPr>
      <w:rFonts w:ascii="Tahoma" w:hAnsi="Tahoma" w:cs="Tahoma"/>
      <w:sz w:val="16"/>
      <w:szCs w:val="16"/>
    </w:rPr>
  </w:style>
  <w:style w:type="table" w:styleId="TableGrid">
    <w:name w:val="Table Grid"/>
    <w:basedOn w:val="TableNormal"/>
    <w:uiPriority w:val="39"/>
    <w:rsid w:val="00992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8A6"/>
    <w:pPr>
      <w:ind w:left="720"/>
      <w:contextualSpacing/>
    </w:pPr>
  </w:style>
  <w:style w:type="paragraph" w:styleId="NormalWeb">
    <w:name w:val="Normal (Web)"/>
    <w:basedOn w:val="Normal"/>
    <w:uiPriority w:val="99"/>
    <w:unhideWhenUsed/>
    <w:rsid w:val="009928A6"/>
    <w:pPr>
      <w:spacing w:after="288" w:line="336" w:lineRule="atLeast"/>
    </w:pPr>
    <w:rPr>
      <w:rFonts w:ascii="Times New Roman" w:eastAsia="Times New Roman" w:hAnsi="Times New Roman" w:cs="Times New Roman"/>
      <w:sz w:val="24"/>
      <w:szCs w:val="24"/>
    </w:rPr>
  </w:style>
  <w:style w:type="character" w:customStyle="1" w:styleId="exlresultdetails">
    <w:name w:val="exlresultdetails"/>
    <w:basedOn w:val="DefaultParagraphFont"/>
    <w:rsid w:val="009928A6"/>
  </w:style>
  <w:style w:type="character" w:customStyle="1" w:styleId="citation">
    <w:name w:val="citation"/>
    <w:basedOn w:val="DefaultParagraphFont"/>
    <w:rsid w:val="009928A6"/>
  </w:style>
  <w:style w:type="table" w:customStyle="1" w:styleId="LightShading-Accent11">
    <w:name w:val="Light Shading - Accent 11"/>
    <w:basedOn w:val="TableNormal"/>
    <w:uiPriority w:val="60"/>
    <w:rsid w:val="008D200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59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18B"/>
  </w:style>
  <w:style w:type="paragraph" w:styleId="Footer">
    <w:name w:val="footer"/>
    <w:basedOn w:val="Normal"/>
    <w:link w:val="FooterChar"/>
    <w:uiPriority w:val="99"/>
    <w:unhideWhenUsed/>
    <w:rsid w:val="0059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18B"/>
  </w:style>
  <w:style w:type="paragraph" w:customStyle="1" w:styleId="Default">
    <w:name w:val="Default"/>
    <w:rsid w:val="00DE46D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90228"/>
    <w:rPr>
      <w:color w:val="0000FF"/>
      <w:u w:val="single"/>
    </w:rPr>
  </w:style>
  <w:style w:type="character" w:customStyle="1" w:styleId="Heading2Char">
    <w:name w:val="Heading 2 Char"/>
    <w:basedOn w:val="DefaultParagraphFont"/>
    <w:link w:val="Heading2"/>
    <w:uiPriority w:val="9"/>
    <w:rsid w:val="00AD2083"/>
    <w:rPr>
      <w:rFonts w:asciiTheme="majorHAnsi" w:eastAsiaTheme="majorEastAsia" w:hAnsiTheme="majorHAnsi" w:cstheme="majorBidi"/>
      <w:color w:val="365F91" w:themeColor="accent1" w:themeShade="BF"/>
      <w:sz w:val="26"/>
      <w:szCs w:val="26"/>
      <w:lang w:eastAsia="en-US"/>
    </w:rPr>
  </w:style>
  <w:style w:type="character" w:styleId="Emphasis">
    <w:name w:val="Emphasis"/>
    <w:basedOn w:val="DefaultParagraphFont"/>
    <w:uiPriority w:val="20"/>
    <w:qFormat/>
    <w:rsid w:val="00AD2083"/>
    <w:rPr>
      <w:i/>
      <w:iCs/>
    </w:rPr>
  </w:style>
  <w:style w:type="character" w:customStyle="1" w:styleId="apple-converted-space">
    <w:name w:val="apple-converted-space"/>
    <w:basedOn w:val="DefaultParagraphFont"/>
    <w:rsid w:val="00AD2083"/>
  </w:style>
  <w:style w:type="character" w:customStyle="1" w:styleId="Heading3Char">
    <w:name w:val="Heading 3 Char"/>
    <w:basedOn w:val="DefaultParagraphFont"/>
    <w:link w:val="Heading3"/>
    <w:uiPriority w:val="9"/>
    <w:rsid w:val="00794E35"/>
    <w:rPr>
      <w:rFonts w:asciiTheme="majorHAnsi" w:eastAsiaTheme="majorEastAsia" w:hAnsiTheme="majorHAnsi" w:cstheme="majorBidi"/>
      <w:color w:val="243F60" w:themeColor="accent1" w:themeShade="7F"/>
      <w:sz w:val="24"/>
      <w:szCs w:val="24"/>
    </w:rPr>
  </w:style>
  <w:style w:type="table" w:customStyle="1" w:styleId="TableGridLight1">
    <w:name w:val="Table Grid Light1"/>
    <w:basedOn w:val="TableNormal"/>
    <w:uiPriority w:val="40"/>
    <w:rsid w:val="00F730A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2B0A84"/>
    <w:rPr>
      <w:sz w:val="16"/>
      <w:szCs w:val="16"/>
    </w:rPr>
  </w:style>
  <w:style w:type="paragraph" w:styleId="CommentText">
    <w:name w:val="annotation text"/>
    <w:basedOn w:val="Normal"/>
    <w:link w:val="CommentTextChar"/>
    <w:uiPriority w:val="99"/>
    <w:unhideWhenUsed/>
    <w:rsid w:val="002B0A84"/>
    <w:pPr>
      <w:spacing w:line="240" w:lineRule="auto"/>
    </w:pPr>
    <w:rPr>
      <w:sz w:val="20"/>
      <w:szCs w:val="20"/>
    </w:rPr>
  </w:style>
  <w:style w:type="character" w:customStyle="1" w:styleId="CommentTextChar">
    <w:name w:val="Comment Text Char"/>
    <w:basedOn w:val="DefaultParagraphFont"/>
    <w:link w:val="CommentText"/>
    <w:uiPriority w:val="99"/>
    <w:rsid w:val="002B0A84"/>
    <w:rPr>
      <w:sz w:val="20"/>
      <w:szCs w:val="20"/>
    </w:rPr>
  </w:style>
  <w:style w:type="paragraph" w:styleId="CommentSubject">
    <w:name w:val="annotation subject"/>
    <w:basedOn w:val="CommentText"/>
    <w:next w:val="CommentText"/>
    <w:link w:val="CommentSubjectChar"/>
    <w:uiPriority w:val="99"/>
    <w:semiHidden/>
    <w:unhideWhenUsed/>
    <w:rsid w:val="002B0A84"/>
    <w:rPr>
      <w:b/>
      <w:bCs/>
    </w:rPr>
  </w:style>
  <w:style w:type="character" w:customStyle="1" w:styleId="CommentSubjectChar">
    <w:name w:val="Comment Subject Char"/>
    <w:basedOn w:val="CommentTextChar"/>
    <w:link w:val="CommentSubject"/>
    <w:uiPriority w:val="99"/>
    <w:semiHidden/>
    <w:rsid w:val="002B0A84"/>
    <w:rPr>
      <w:b/>
      <w:bCs/>
      <w:sz w:val="20"/>
      <w:szCs w:val="20"/>
    </w:rPr>
  </w:style>
  <w:style w:type="paragraph" w:customStyle="1" w:styleId="xl66">
    <w:name w:val="xl66"/>
    <w:basedOn w:val="Normal"/>
    <w:rsid w:val="00C4342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C4342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C4342B"/>
    <w:pPr>
      <w:spacing w:before="100" w:beforeAutospacing="1" w:after="100" w:afterAutospacing="1"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56851"/>
    <w:rPr>
      <w:color w:val="954F72"/>
      <w:u w:val="single"/>
    </w:rPr>
  </w:style>
  <w:style w:type="paragraph" w:customStyle="1" w:styleId="xl65">
    <w:name w:val="xl65"/>
    <w:basedOn w:val="Normal"/>
    <w:rsid w:val="00256851"/>
    <w:pPr>
      <w:spacing w:before="100" w:beforeAutospacing="1" w:after="100" w:afterAutospacing="1" w:line="240" w:lineRule="auto"/>
    </w:pPr>
    <w:rPr>
      <w:rFonts w:ascii="Times New Roman" w:eastAsia="Times New Roman" w:hAnsi="Times New Roman" w:cs="Times New Roman"/>
      <w:sz w:val="20"/>
      <w:szCs w:val="20"/>
      <w:lang w:eastAsia="zh-CN"/>
    </w:rPr>
  </w:style>
  <w:style w:type="paragraph" w:styleId="FootnoteText">
    <w:name w:val="footnote text"/>
    <w:basedOn w:val="Normal"/>
    <w:link w:val="FootnoteTextChar"/>
    <w:uiPriority w:val="99"/>
    <w:unhideWhenUsed/>
    <w:rsid w:val="00044A4C"/>
    <w:pPr>
      <w:spacing w:after="0" w:line="240" w:lineRule="auto"/>
      <w:ind w:firstLine="360"/>
    </w:pPr>
    <w:rPr>
      <w:rFonts w:ascii="Calibri" w:eastAsia="SimSun" w:hAnsi="Calibri" w:cs="Times New Roman"/>
      <w:sz w:val="24"/>
      <w:szCs w:val="24"/>
      <w:lang w:eastAsia="zh-CN"/>
    </w:rPr>
  </w:style>
  <w:style w:type="character" w:customStyle="1" w:styleId="FootnoteTextChar">
    <w:name w:val="Footnote Text Char"/>
    <w:basedOn w:val="DefaultParagraphFont"/>
    <w:link w:val="FootnoteText"/>
    <w:uiPriority w:val="99"/>
    <w:rsid w:val="00044A4C"/>
    <w:rPr>
      <w:rFonts w:ascii="Calibri" w:eastAsia="SimSun" w:hAnsi="Calibri"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6518663">
      <w:bodyDiv w:val="1"/>
      <w:marLeft w:val="0"/>
      <w:marRight w:val="0"/>
      <w:marTop w:val="0"/>
      <w:marBottom w:val="0"/>
      <w:divBdr>
        <w:top w:val="none" w:sz="0" w:space="0" w:color="auto"/>
        <w:left w:val="none" w:sz="0" w:space="0" w:color="auto"/>
        <w:bottom w:val="none" w:sz="0" w:space="0" w:color="auto"/>
        <w:right w:val="none" w:sz="0" w:space="0" w:color="auto"/>
      </w:divBdr>
    </w:div>
    <w:div w:id="273679454">
      <w:bodyDiv w:val="1"/>
      <w:marLeft w:val="0"/>
      <w:marRight w:val="0"/>
      <w:marTop w:val="0"/>
      <w:marBottom w:val="0"/>
      <w:divBdr>
        <w:top w:val="none" w:sz="0" w:space="0" w:color="auto"/>
        <w:left w:val="none" w:sz="0" w:space="0" w:color="auto"/>
        <w:bottom w:val="none" w:sz="0" w:space="0" w:color="auto"/>
        <w:right w:val="none" w:sz="0" w:space="0" w:color="auto"/>
      </w:divBdr>
    </w:div>
    <w:div w:id="624312798">
      <w:bodyDiv w:val="1"/>
      <w:marLeft w:val="0"/>
      <w:marRight w:val="0"/>
      <w:marTop w:val="0"/>
      <w:marBottom w:val="0"/>
      <w:divBdr>
        <w:top w:val="none" w:sz="0" w:space="0" w:color="auto"/>
        <w:left w:val="none" w:sz="0" w:space="0" w:color="auto"/>
        <w:bottom w:val="none" w:sz="0" w:space="0" w:color="auto"/>
        <w:right w:val="none" w:sz="0" w:space="0" w:color="auto"/>
      </w:divBdr>
    </w:div>
    <w:div w:id="655962486">
      <w:bodyDiv w:val="1"/>
      <w:marLeft w:val="0"/>
      <w:marRight w:val="0"/>
      <w:marTop w:val="0"/>
      <w:marBottom w:val="0"/>
      <w:divBdr>
        <w:top w:val="none" w:sz="0" w:space="0" w:color="auto"/>
        <w:left w:val="none" w:sz="0" w:space="0" w:color="auto"/>
        <w:bottom w:val="none" w:sz="0" w:space="0" w:color="auto"/>
        <w:right w:val="none" w:sz="0" w:space="0" w:color="auto"/>
      </w:divBdr>
    </w:div>
    <w:div w:id="707796098">
      <w:bodyDiv w:val="1"/>
      <w:marLeft w:val="0"/>
      <w:marRight w:val="0"/>
      <w:marTop w:val="0"/>
      <w:marBottom w:val="0"/>
      <w:divBdr>
        <w:top w:val="none" w:sz="0" w:space="0" w:color="auto"/>
        <w:left w:val="none" w:sz="0" w:space="0" w:color="auto"/>
        <w:bottom w:val="none" w:sz="0" w:space="0" w:color="auto"/>
        <w:right w:val="none" w:sz="0" w:space="0" w:color="auto"/>
      </w:divBdr>
    </w:div>
    <w:div w:id="716122969">
      <w:bodyDiv w:val="1"/>
      <w:marLeft w:val="0"/>
      <w:marRight w:val="0"/>
      <w:marTop w:val="0"/>
      <w:marBottom w:val="0"/>
      <w:divBdr>
        <w:top w:val="none" w:sz="0" w:space="0" w:color="auto"/>
        <w:left w:val="none" w:sz="0" w:space="0" w:color="auto"/>
        <w:bottom w:val="none" w:sz="0" w:space="0" w:color="auto"/>
        <w:right w:val="none" w:sz="0" w:space="0" w:color="auto"/>
      </w:divBdr>
    </w:div>
    <w:div w:id="809056444">
      <w:bodyDiv w:val="1"/>
      <w:marLeft w:val="0"/>
      <w:marRight w:val="0"/>
      <w:marTop w:val="0"/>
      <w:marBottom w:val="0"/>
      <w:divBdr>
        <w:top w:val="none" w:sz="0" w:space="0" w:color="auto"/>
        <w:left w:val="none" w:sz="0" w:space="0" w:color="auto"/>
        <w:bottom w:val="none" w:sz="0" w:space="0" w:color="auto"/>
        <w:right w:val="none" w:sz="0" w:space="0" w:color="auto"/>
      </w:divBdr>
    </w:div>
    <w:div w:id="815486109">
      <w:bodyDiv w:val="1"/>
      <w:marLeft w:val="0"/>
      <w:marRight w:val="0"/>
      <w:marTop w:val="0"/>
      <w:marBottom w:val="0"/>
      <w:divBdr>
        <w:top w:val="none" w:sz="0" w:space="0" w:color="auto"/>
        <w:left w:val="none" w:sz="0" w:space="0" w:color="auto"/>
        <w:bottom w:val="none" w:sz="0" w:space="0" w:color="auto"/>
        <w:right w:val="none" w:sz="0" w:space="0" w:color="auto"/>
      </w:divBdr>
    </w:div>
    <w:div w:id="816651137">
      <w:bodyDiv w:val="1"/>
      <w:marLeft w:val="0"/>
      <w:marRight w:val="0"/>
      <w:marTop w:val="0"/>
      <w:marBottom w:val="0"/>
      <w:divBdr>
        <w:top w:val="none" w:sz="0" w:space="0" w:color="auto"/>
        <w:left w:val="none" w:sz="0" w:space="0" w:color="auto"/>
        <w:bottom w:val="none" w:sz="0" w:space="0" w:color="auto"/>
        <w:right w:val="none" w:sz="0" w:space="0" w:color="auto"/>
      </w:divBdr>
    </w:div>
    <w:div w:id="1075737349">
      <w:bodyDiv w:val="1"/>
      <w:marLeft w:val="0"/>
      <w:marRight w:val="0"/>
      <w:marTop w:val="0"/>
      <w:marBottom w:val="0"/>
      <w:divBdr>
        <w:top w:val="none" w:sz="0" w:space="0" w:color="auto"/>
        <w:left w:val="none" w:sz="0" w:space="0" w:color="auto"/>
        <w:bottom w:val="none" w:sz="0" w:space="0" w:color="auto"/>
        <w:right w:val="none" w:sz="0" w:space="0" w:color="auto"/>
      </w:divBdr>
    </w:div>
    <w:div w:id="1118372561">
      <w:bodyDiv w:val="1"/>
      <w:marLeft w:val="0"/>
      <w:marRight w:val="0"/>
      <w:marTop w:val="0"/>
      <w:marBottom w:val="0"/>
      <w:divBdr>
        <w:top w:val="none" w:sz="0" w:space="0" w:color="auto"/>
        <w:left w:val="none" w:sz="0" w:space="0" w:color="auto"/>
        <w:bottom w:val="none" w:sz="0" w:space="0" w:color="auto"/>
        <w:right w:val="none" w:sz="0" w:space="0" w:color="auto"/>
      </w:divBdr>
    </w:div>
    <w:div w:id="1155680849">
      <w:bodyDiv w:val="1"/>
      <w:marLeft w:val="0"/>
      <w:marRight w:val="0"/>
      <w:marTop w:val="0"/>
      <w:marBottom w:val="0"/>
      <w:divBdr>
        <w:top w:val="none" w:sz="0" w:space="0" w:color="auto"/>
        <w:left w:val="none" w:sz="0" w:space="0" w:color="auto"/>
        <w:bottom w:val="none" w:sz="0" w:space="0" w:color="auto"/>
        <w:right w:val="none" w:sz="0" w:space="0" w:color="auto"/>
      </w:divBdr>
    </w:div>
    <w:div w:id="1192644277">
      <w:bodyDiv w:val="1"/>
      <w:marLeft w:val="0"/>
      <w:marRight w:val="0"/>
      <w:marTop w:val="0"/>
      <w:marBottom w:val="0"/>
      <w:divBdr>
        <w:top w:val="none" w:sz="0" w:space="0" w:color="auto"/>
        <w:left w:val="none" w:sz="0" w:space="0" w:color="auto"/>
        <w:bottom w:val="none" w:sz="0" w:space="0" w:color="auto"/>
        <w:right w:val="none" w:sz="0" w:space="0" w:color="auto"/>
      </w:divBdr>
    </w:div>
    <w:div w:id="1232501031">
      <w:bodyDiv w:val="1"/>
      <w:marLeft w:val="0"/>
      <w:marRight w:val="0"/>
      <w:marTop w:val="0"/>
      <w:marBottom w:val="0"/>
      <w:divBdr>
        <w:top w:val="none" w:sz="0" w:space="0" w:color="auto"/>
        <w:left w:val="none" w:sz="0" w:space="0" w:color="auto"/>
        <w:bottom w:val="none" w:sz="0" w:space="0" w:color="auto"/>
        <w:right w:val="none" w:sz="0" w:space="0" w:color="auto"/>
      </w:divBdr>
    </w:div>
    <w:div w:id="1331911151">
      <w:bodyDiv w:val="1"/>
      <w:marLeft w:val="0"/>
      <w:marRight w:val="0"/>
      <w:marTop w:val="0"/>
      <w:marBottom w:val="0"/>
      <w:divBdr>
        <w:top w:val="none" w:sz="0" w:space="0" w:color="auto"/>
        <w:left w:val="none" w:sz="0" w:space="0" w:color="auto"/>
        <w:bottom w:val="none" w:sz="0" w:space="0" w:color="auto"/>
        <w:right w:val="none" w:sz="0" w:space="0" w:color="auto"/>
      </w:divBdr>
    </w:div>
    <w:div w:id="1370762029">
      <w:bodyDiv w:val="1"/>
      <w:marLeft w:val="0"/>
      <w:marRight w:val="0"/>
      <w:marTop w:val="0"/>
      <w:marBottom w:val="0"/>
      <w:divBdr>
        <w:top w:val="none" w:sz="0" w:space="0" w:color="auto"/>
        <w:left w:val="none" w:sz="0" w:space="0" w:color="auto"/>
        <w:bottom w:val="none" w:sz="0" w:space="0" w:color="auto"/>
        <w:right w:val="none" w:sz="0" w:space="0" w:color="auto"/>
      </w:divBdr>
    </w:div>
    <w:div w:id="1382554431">
      <w:bodyDiv w:val="1"/>
      <w:marLeft w:val="0"/>
      <w:marRight w:val="0"/>
      <w:marTop w:val="0"/>
      <w:marBottom w:val="0"/>
      <w:divBdr>
        <w:top w:val="none" w:sz="0" w:space="0" w:color="auto"/>
        <w:left w:val="none" w:sz="0" w:space="0" w:color="auto"/>
        <w:bottom w:val="none" w:sz="0" w:space="0" w:color="auto"/>
        <w:right w:val="none" w:sz="0" w:space="0" w:color="auto"/>
      </w:divBdr>
    </w:div>
    <w:div w:id="1571385113">
      <w:bodyDiv w:val="1"/>
      <w:marLeft w:val="0"/>
      <w:marRight w:val="0"/>
      <w:marTop w:val="0"/>
      <w:marBottom w:val="0"/>
      <w:divBdr>
        <w:top w:val="none" w:sz="0" w:space="0" w:color="auto"/>
        <w:left w:val="none" w:sz="0" w:space="0" w:color="auto"/>
        <w:bottom w:val="none" w:sz="0" w:space="0" w:color="auto"/>
        <w:right w:val="none" w:sz="0" w:space="0" w:color="auto"/>
      </w:divBdr>
    </w:div>
    <w:div w:id="1577858541">
      <w:bodyDiv w:val="1"/>
      <w:marLeft w:val="0"/>
      <w:marRight w:val="0"/>
      <w:marTop w:val="0"/>
      <w:marBottom w:val="0"/>
      <w:divBdr>
        <w:top w:val="none" w:sz="0" w:space="0" w:color="auto"/>
        <w:left w:val="none" w:sz="0" w:space="0" w:color="auto"/>
        <w:bottom w:val="none" w:sz="0" w:space="0" w:color="auto"/>
        <w:right w:val="none" w:sz="0" w:space="0" w:color="auto"/>
      </w:divBdr>
    </w:div>
    <w:div w:id="1712850429">
      <w:bodyDiv w:val="1"/>
      <w:marLeft w:val="0"/>
      <w:marRight w:val="0"/>
      <w:marTop w:val="0"/>
      <w:marBottom w:val="0"/>
      <w:divBdr>
        <w:top w:val="none" w:sz="0" w:space="0" w:color="auto"/>
        <w:left w:val="none" w:sz="0" w:space="0" w:color="auto"/>
        <w:bottom w:val="none" w:sz="0" w:space="0" w:color="auto"/>
        <w:right w:val="none" w:sz="0" w:space="0" w:color="auto"/>
      </w:divBdr>
    </w:div>
    <w:div w:id="1814758895">
      <w:bodyDiv w:val="1"/>
      <w:marLeft w:val="0"/>
      <w:marRight w:val="0"/>
      <w:marTop w:val="0"/>
      <w:marBottom w:val="0"/>
      <w:divBdr>
        <w:top w:val="none" w:sz="0" w:space="0" w:color="auto"/>
        <w:left w:val="none" w:sz="0" w:space="0" w:color="auto"/>
        <w:bottom w:val="none" w:sz="0" w:space="0" w:color="auto"/>
        <w:right w:val="none" w:sz="0" w:space="0" w:color="auto"/>
      </w:divBdr>
    </w:div>
    <w:div w:id="1870944427">
      <w:bodyDiv w:val="1"/>
      <w:marLeft w:val="0"/>
      <w:marRight w:val="0"/>
      <w:marTop w:val="0"/>
      <w:marBottom w:val="0"/>
      <w:divBdr>
        <w:top w:val="none" w:sz="0" w:space="0" w:color="auto"/>
        <w:left w:val="none" w:sz="0" w:space="0" w:color="auto"/>
        <w:bottom w:val="none" w:sz="0" w:space="0" w:color="auto"/>
        <w:right w:val="none" w:sz="0" w:space="0" w:color="auto"/>
      </w:divBdr>
    </w:div>
    <w:div w:id="210228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nha/database" TargetMode="External"/><Relationship Id="rId3" Type="http://schemas.openxmlformats.org/officeDocument/2006/relationships/settings" Target="settings.xml"/><Relationship Id="rId7" Type="http://schemas.openxmlformats.org/officeDocument/2006/relationships/hyperlink" Target="http://www.oecd.org/dac/stats/crsguid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CL587</dc:creator>
  <cp:lastModifiedBy>CL587</cp:lastModifiedBy>
  <cp:revision>3</cp:revision>
  <dcterms:created xsi:type="dcterms:W3CDTF">2017-04-17T05:12:00Z</dcterms:created>
  <dcterms:modified xsi:type="dcterms:W3CDTF">2017-04-17T05:12:00Z</dcterms:modified>
</cp:coreProperties>
</file>