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91" w:rsidRPr="00A87D44" w:rsidRDefault="00827591" w:rsidP="00827591">
      <w:pPr>
        <w:tabs>
          <w:tab w:val="left" w:pos="2834"/>
        </w:tabs>
        <w:rPr>
          <w:rFonts w:cs="Times New Roman"/>
          <w:szCs w:val="24"/>
        </w:rPr>
      </w:pPr>
      <w:r w:rsidRPr="00ED0C42">
        <w:rPr>
          <w:rFonts w:cs="Times New Roman"/>
          <w:i/>
          <w:szCs w:val="24"/>
        </w:rPr>
        <w:t xml:space="preserve">Outcome #1: </w:t>
      </w:r>
      <w:r w:rsidRPr="00A87D44">
        <w:rPr>
          <w:rFonts w:cs="Times New Roman"/>
          <w:szCs w:val="24"/>
        </w:rPr>
        <w:t>Group-based trajectories of childhood conduct problems</w:t>
      </w:r>
    </w:p>
    <w:p w:rsidR="00827591" w:rsidRPr="00ED0C42" w:rsidRDefault="00827591" w:rsidP="00827591">
      <w:pPr>
        <w:spacing w:after="0" w:line="480" w:lineRule="auto"/>
        <w:rPr>
          <w:rFonts w:cs="Times New Roman"/>
          <w:szCs w:val="24"/>
        </w:rPr>
      </w:pPr>
      <w:r w:rsidRPr="00ED0C42">
        <w:rPr>
          <w:rFonts w:cs="Times New Roman"/>
          <w:szCs w:val="24"/>
        </w:rPr>
        <w:t>Female gender, living in rented accommodation, maternal smoking in the antenatal period, and low parental income were associated with baseline and growth of conduct problem across all groups compared to offspring who were in the ‘low’ conduct problems group. Having three or more children in the family, low maternal education were associated with EOP and CL conduct trajectory groups. Medium social status was associated with lower EOP and CL conduct trajectory groups. Associations between each of the background socioeconomic variables and trajectory classes were examined u</w:t>
      </w:r>
      <w:r>
        <w:rPr>
          <w:rFonts w:cs="Times New Roman"/>
          <w:szCs w:val="24"/>
        </w:rPr>
        <w:t>sing the Wald χ² test (S3Table</w:t>
      </w:r>
      <w:r w:rsidRPr="00ED0C42">
        <w:rPr>
          <w:rFonts w:cs="Times New Roman"/>
          <w:szCs w:val="24"/>
        </w:rPr>
        <w:t xml:space="preserve">). </w:t>
      </w:r>
    </w:p>
    <w:p w:rsidR="00827591" w:rsidRPr="00ED0C42" w:rsidRDefault="00827591" w:rsidP="00827591">
      <w:pPr>
        <w:spacing w:before="240" w:line="480" w:lineRule="auto"/>
        <w:ind w:firstLine="720"/>
        <w:jc w:val="cente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Default="00827591" w:rsidP="00827591">
      <w:pPr>
        <w:rPr>
          <w:rFonts w:cs="Times New Roman"/>
          <w:szCs w:val="24"/>
        </w:rPr>
      </w:pPr>
    </w:p>
    <w:p w:rsidR="00827591" w:rsidRPr="00ED0C42" w:rsidRDefault="00827591" w:rsidP="00827591">
      <w:pPr>
        <w:rPr>
          <w:rFonts w:cs="Times New Roman"/>
          <w:i/>
          <w:szCs w:val="24"/>
        </w:rPr>
      </w:pPr>
      <w:r>
        <w:rPr>
          <w:rFonts w:cs="Times New Roman"/>
          <w:i/>
          <w:szCs w:val="24"/>
        </w:rPr>
        <w:lastRenderedPageBreak/>
        <w:t>Table S3</w:t>
      </w:r>
      <w:r w:rsidRPr="000932C0">
        <w:rPr>
          <w:rFonts w:cs="Times New Roman"/>
          <w:i/>
          <w:szCs w:val="24"/>
        </w:rPr>
        <w:t>.</w:t>
      </w:r>
      <w:r w:rsidRPr="00ED0C42">
        <w:rPr>
          <w:rFonts w:cs="Times New Roman"/>
          <w:szCs w:val="24"/>
        </w:rPr>
        <w:t xml:space="preserve"> </w:t>
      </w:r>
      <w:proofErr w:type="spellStart"/>
      <w:r w:rsidRPr="00A87D44">
        <w:rPr>
          <w:rFonts w:cs="Times New Roman"/>
          <w:szCs w:val="24"/>
        </w:rPr>
        <w:t>Univariable</w:t>
      </w:r>
      <w:proofErr w:type="spellEnd"/>
      <w:r w:rsidRPr="00A87D44">
        <w:rPr>
          <w:rFonts w:cs="Times New Roman"/>
          <w:szCs w:val="24"/>
        </w:rPr>
        <w:t xml:space="preserve"> associations between demographic variables and trajectories of conduct problems</w:t>
      </w:r>
      <w:r w:rsidRPr="00ED0C42">
        <w:rPr>
          <w:rFonts w:cs="Times New Roman"/>
          <w:i/>
          <w:szCs w:val="24"/>
        </w:rPr>
        <w:t xml:space="preserve"> </w:t>
      </w:r>
    </w:p>
    <w:tbl>
      <w:tblPr>
        <w:tblStyle w:val="TableGrid"/>
        <w:tblW w:w="9781" w:type="dxa"/>
        <w:tblLayout w:type="fixed"/>
        <w:tblLook w:val="04A0" w:firstRow="1" w:lastRow="0" w:firstColumn="1" w:lastColumn="0" w:noHBand="0" w:noVBand="1"/>
      </w:tblPr>
      <w:tblGrid>
        <w:gridCol w:w="1985"/>
        <w:gridCol w:w="1417"/>
        <w:gridCol w:w="1843"/>
        <w:gridCol w:w="1843"/>
        <w:gridCol w:w="1843"/>
        <w:gridCol w:w="850"/>
      </w:tblGrid>
      <w:tr w:rsidR="00827591" w:rsidRPr="00ED0C42" w:rsidTr="004E6B0B">
        <w:tc>
          <w:tcPr>
            <w:tcW w:w="1985" w:type="dxa"/>
            <w:tcBorders>
              <w:top w:val="double" w:sz="4" w:space="0" w:color="auto"/>
              <w:left w:val="nil"/>
              <w:bottom w:val="nil"/>
            </w:tcBorders>
          </w:tcPr>
          <w:p w:rsidR="00827591" w:rsidRPr="00CC5FD4" w:rsidRDefault="00827591" w:rsidP="004E6B0B">
            <w:pPr>
              <w:spacing w:line="276" w:lineRule="auto"/>
              <w:rPr>
                <w:rFonts w:ascii="Times New Roman" w:hAnsi="Times New Roman" w:cs="Times New Roman"/>
                <w:sz w:val="24"/>
                <w:szCs w:val="24"/>
              </w:rPr>
            </w:pPr>
          </w:p>
        </w:tc>
        <w:tc>
          <w:tcPr>
            <w:tcW w:w="1417" w:type="dxa"/>
            <w:tcBorders>
              <w:top w:val="double" w:sz="4" w:space="0" w:color="auto"/>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p>
        </w:tc>
        <w:tc>
          <w:tcPr>
            <w:tcW w:w="1843" w:type="dxa"/>
            <w:tcBorders>
              <w:top w:val="double" w:sz="4" w:space="0" w:color="auto"/>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EOP</w:t>
            </w:r>
          </w:p>
        </w:tc>
        <w:tc>
          <w:tcPr>
            <w:tcW w:w="1843" w:type="dxa"/>
            <w:tcBorders>
              <w:top w:val="double" w:sz="4" w:space="0" w:color="auto"/>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CL</w:t>
            </w:r>
          </w:p>
        </w:tc>
        <w:tc>
          <w:tcPr>
            <w:tcW w:w="1843" w:type="dxa"/>
            <w:tcBorders>
              <w:top w:val="double" w:sz="4" w:space="0" w:color="auto"/>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AO</w:t>
            </w:r>
          </w:p>
        </w:tc>
        <w:tc>
          <w:tcPr>
            <w:tcW w:w="850" w:type="dxa"/>
            <w:tcBorders>
              <w:top w:val="double" w:sz="4" w:space="0" w:color="auto"/>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p>
        </w:tc>
      </w:tr>
      <w:tr w:rsidR="00827591" w:rsidRPr="00ED0C42" w:rsidTr="004E6B0B">
        <w:tc>
          <w:tcPr>
            <w:tcW w:w="1985" w:type="dxa"/>
            <w:tcBorders>
              <w:top w:val="nil"/>
              <w:left w:val="nil"/>
            </w:tcBorders>
          </w:tcPr>
          <w:p w:rsidR="00827591" w:rsidRPr="00CC5FD4" w:rsidRDefault="00827591" w:rsidP="004E6B0B">
            <w:pPr>
              <w:spacing w:line="276" w:lineRule="auto"/>
              <w:rPr>
                <w:rFonts w:ascii="Times New Roman" w:hAnsi="Times New Roman" w:cs="Times New Roman"/>
                <w:sz w:val="24"/>
                <w:szCs w:val="24"/>
              </w:rPr>
            </w:pPr>
          </w:p>
        </w:tc>
        <w:tc>
          <w:tcPr>
            <w:tcW w:w="1417" w:type="dxa"/>
            <w:tcBorders>
              <w:top w:val="nil"/>
              <w:right w:val="nil"/>
            </w:tcBorders>
          </w:tcPr>
          <w:p w:rsidR="00827591" w:rsidRPr="00CC5FD4" w:rsidRDefault="00827591" w:rsidP="004E6B0B">
            <w:pPr>
              <w:spacing w:line="276" w:lineRule="auto"/>
              <w:jc w:val="center"/>
              <w:rPr>
                <w:rFonts w:ascii="Times New Roman" w:hAnsi="Times New Roman" w:cs="Times New Roman"/>
                <w:i/>
                <w:sz w:val="24"/>
                <w:szCs w:val="24"/>
              </w:rPr>
            </w:pPr>
            <w:proofErr w:type="gramStart"/>
            <w:r w:rsidRPr="00CC5FD4">
              <w:rPr>
                <w:rFonts w:ascii="Times New Roman" w:hAnsi="Times New Roman" w:cs="Times New Roman"/>
                <w:i/>
                <w:sz w:val="24"/>
                <w:szCs w:val="24"/>
              </w:rPr>
              <w:t>n</w:t>
            </w:r>
            <w:proofErr w:type="gramEnd"/>
            <w:r w:rsidRPr="00CC5FD4">
              <w:rPr>
                <w:rFonts w:ascii="Times New Roman" w:hAnsi="Times New Roman" w:cs="Times New Roman"/>
                <w:i/>
                <w:sz w:val="24"/>
                <w:szCs w:val="24"/>
              </w:rPr>
              <w:t xml:space="preserve"> </w:t>
            </w:r>
            <w:r w:rsidRPr="00CC5FD4">
              <w:rPr>
                <w:rFonts w:ascii="Times New Roman" w:hAnsi="Times New Roman" w:cs="Times New Roman"/>
                <w:sz w:val="24"/>
                <w:szCs w:val="24"/>
              </w:rPr>
              <w:t>(%)</w:t>
            </w:r>
          </w:p>
        </w:tc>
        <w:tc>
          <w:tcPr>
            <w:tcW w:w="1843" w:type="dxa"/>
            <w:tcBorders>
              <w:top w:val="nil"/>
              <w:left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OR(95% CI)</w:t>
            </w:r>
          </w:p>
        </w:tc>
        <w:tc>
          <w:tcPr>
            <w:tcW w:w="1843" w:type="dxa"/>
            <w:tcBorders>
              <w:top w:val="nil"/>
              <w:left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OR(95% CI)</w:t>
            </w:r>
          </w:p>
        </w:tc>
        <w:tc>
          <w:tcPr>
            <w:tcW w:w="1843" w:type="dxa"/>
            <w:tcBorders>
              <w:top w:val="nil"/>
              <w:left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OR(95% CI)</w:t>
            </w:r>
          </w:p>
        </w:tc>
        <w:tc>
          <w:tcPr>
            <w:tcW w:w="850" w:type="dxa"/>
            <w:tcBorders>
              <w:top w:val="nil"/>
              <w:left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i/>
                <w:sz w:val="24"/>
                <w:szCs w:val="24"/>
              </w:rPr>
              <w:t>test</w:t>
            </w:r>
            <w:r w:rsidRPr="00CC5FD4">
              <w:rPr>
                <w:rFonts w:ascii="Times New Roman" w:hAnsi="Times New Roman" w:cs="Times New Roman"/>
                <w:sz w:val="24"/>
                <w:szCs w:val="24"/>
              </w:rPr>
              <w:t xml:space="preserve"> </w:t>
            </w:r>
            <w:r w:rsidRPr="00CC5FD4">
              <w:rPr>
                <w:rFonts w:ascii="Times New Roman" w:hAnsi="Times New Roman" w:cs="Times New Roman"/>
                <w:i/>
                <w:sz w:val="24"/>
                <w:szCs w:val="24"/>
              </w:rPr>
              <w:t>p</w:t>
            </w:r>
          </w:p>
        </w:tc>
      </w:tr>
      <w:tr w:rsidR="00827591" w:rsidRPr="00ED0C42" w:rsidTr="004E6B0B">
        <w:tc>
          <w:tcPr>
            <w:tcW w:w="1985" w:type="dxa"/>
            <w:tcBorders>
              <w:left w:val="nil"/>
              <w:bottom w:val="nil"/>
            </w:tcBorders>
          </w:tcPr>
          <w:p w:rsidR="00827591" w:rsidRPr="00CC5FD4" w:rsidRDefault="00827591" w:rsidP="004E6B0B">
            <w:pPr>
              <w:spacing w:line="276" w:lineRule="auto"/>
              <w:rPr>
                <w:rFonts w:ascii="Times New Roman" w:hAnsi="Times New Roman" w:cs="Times New Roman"/>
                <w:b/>
                <w:sz w:val="24"/>
                <w:szCs w:val="24"/>
              </w:rPr>
            </w:pPr>
            <w:r w:rsidRPr="00CC5FD4">
              <w:rPr>
                <w:rFonts w:ascii="Times New Roman" w:hAnsi="Times New Roman" w:cs="Times New Roman"/>
                <w:b/>
                <w:sz w:val="24"/>
                <w:szCs w:val="24"/>
              </w:rPr>
              <w:t xml:space="preserve">Gender </w:t>
            </w:r>
          </w:p>
        </w:tc>
        <w:tc>
          <w:tcPr>
            <w:tcW w:w="1417" w:type="dxa"/>
            <w:tcBorders>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b/>
                <w:sz w:val="24"/>
                <w:szCs w:val="24"/>
              </w:rPr>
            </w:pPr>
            <w:r w:rsidRPr="00CC5FD4">
              <w:rPr>
                <w:rFonts w:ascii="Times New Roman" w:hAnsi="Times New Roman" w:cs="Times New Roman"/>
                <w:sz w:val="24"/>
                <w:szCs w:val="24"/>
              </w:rPr>
              <w:t xml:space="preserve">Females </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3,428 (49.5)</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0.73 (.62, .86)</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0.79 (0.68, 0.91)</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0.98 (0.83, 1.17)</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 xml:space="preserve">Males </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3,499 (50.5)</w:t>
            </w:r>
          </w:p>
        </w:tc>
        <w:tc>
          <w:tcPr>
            <w:tcW w:w="1843" w:type="dxa"/>
            <w:tcBorders>
              <w:top w:val="nil"/>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ref</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&lt;.001</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b/>
                <w:sz w:val="24"/>
                <w:szCs w:val="24"/>
              </w:rPr>
              <w:t>Tenure</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b/>
                <w:sz w:val="24"/>
                <w:szCs w:val="24"/>
              </w:rPr>
            </w:pPr>
            <w:r w:rsidRPr="00CC5FD4">
              <w:rPr>
                <w:rFonts w:ascii="Times New Roman" w:hAnsi="Times New Roman" w:cs="Times New Roman"/>
                <w:sz w:val="24"/>
                <w:szCs w:val="24"/>
              </w:rPr>
              <w:t>Subsidised rent</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 xml:space="preserve">   523  (7.7)</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1.73 (1.30, 2.29)</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1.34 (1.02, 1.75)</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1.39 (1.02, 1.88)</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Private rent</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 xml:space="preserve">   592  (8.7)</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2.73 (2.15, 3.47)</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1.74 (1.37, 2.22)</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1.39 (1.03, 1.88)</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Mortgaged</w:t>
            </w:r>
            <w:r w:rsidRPr="00CC5FD4">
              <w:rPr>
                <w:rFonts w:ascii="Times New Roman" w:hAnsi="Times New Roman" w:cs="Times New Roman"/>
                <w:b/>
                <w:sz w:val="24"/>
                <w:szCs w:val="24"/>
              </w:rPr>
              <w:t xml:space="preserve"> </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5,673 (83.6)</w:t>
            </w:r>
          </w:p>
        </w:tc>
        <w:tc>
          <w:tcPr>
            <w:tcW w:w="1843" w:type="dxa"/>
            <w:tcBorders>
              <w:top w:val="nil"/>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ref</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&lt;.001</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b/>
                <w:sz w:val="24"/>
                <w:szCs w:val="24"/>
              </w:rPr>
              <w:t>Parity</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b/>
                <w:sz w:val="24"/>
                <w:szCs w:val="24"/>
              </w:rPr>
            </w:pPr>
            <w:r w:rsidRPr="00CC5FD4">
              <w:rPr>
                <w:rFonts w:ascii="Times New Roman" w:hAnsi="Times New Roman" w:cs="Times New Roman"/>
                <w:sz w:val="24"/>
                <w:szCs w:val="24"/>
              </w:rPr>
              <w:t>Third+</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1,184 (17.5)</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1.27 (1.02, 1.59)</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1.17 (0.95, 1.43)</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0.82 (0.64, 1.06)</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 xml:space="preserve">Second </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2,401 (35.5)</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0.95 (0.78, 1.15)</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1.10 (0.93, 1.29)</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0.91 (0.75, 1.10)</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First</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3,178 (47.0)</w:t>
            </w:r>
          </w:p>
        </w:tc>
        <w:tc>
          <w:tcPr>
            <w:tcW w:w="1843" w:type="dxa"/>
            <w:tcBorders>
              <w:top w:val="nil"/>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ref</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 xml:space="preserve">  .05</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b/>
                <w:sz w:val="24"/>
                <w:szCs w:val="24"/>
              </w:rPr>
              <w:t>Mat education</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&lt;O level</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2,970 (43.7)</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1.25 (1.03, 1.53)</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1.17 (0.99, 1.39)</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1.08 (0.89, 1.31)</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O level</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2,404 (35.4)</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1.90 (1.54, 2.35)</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1.50 (1.23, 1.81)</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1.24 (0.99, 1.56)</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&gt;O level</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1,424 (21.0)</w:t>
            </w:r>
          </w:p>
        </w:tc>
        <w:tc>
          <w:tcPr>
            <w:tcW w:w="1843" w:type="dxa"/>
            <w:tcBorders>
              <w:top w:val="nil"/>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ref</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&lt;.001</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b/>
                <w:sz w:val="24"/>
                <w:szCs w:val="24"/>
              </w:rPr>
              <w:t>Mat smoking</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 xml:space="preserve">Yes </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 xml:space="preserve">   909 (16.4)</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2.45 (1.99, 3.01)</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1.57 (1.28, 1.93)</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1.47 (1.15, 1.87)</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No</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5,553 (83.4)</w:t>
            </w:r>
          </w:p>
        </w:tc>
        <w:tc>
          <w:tcPr>
            <w:tcW w:w="1843" w:type="dxa"/>
            <w:tcBorders>
              <w:top w:val="nil"/>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ref</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&lt;.001</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b/>
                <w:sz w:val="24"/>
                <w:szCs w:val="24"/>
              </w:rPr>
              <w:t>Income</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Low 20%</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1,027 (15.5)</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2.31 (1.77, 3.00)</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1.59 (1.25, 2.02)</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1.45 (1.10, 1.92)</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40%</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1,248 (18.9)</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1.80 (1.39, 2.36)</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1.28 (1.01, 1.61)</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1.30 (0.99, 1.70)</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60%</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1,349 (20.4)</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1.01 (0.76, 1.34)</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1.03 (0.81, 1.30)</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0.95 (0.72, 1.25)</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80%</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1,469 (22.2)</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0.88 (0.66, 1.17)</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0.90 (0.71, 1.13)</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0.94 (0.72, 1.23)</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High 100%</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1,528 (23.1)</w:t>
            </w:r>
          </w:p>
        </w:tc>
        <w:tc>
          <w:tcPr>
            <w:tcW w:w="1843" w:type="dxa"/>
            <w:tcBorders>
              <w:top w:val="nil"/>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ref</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&lt;.001</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rPr>
                <w:rFonts w:ascii="Times New Roman" w:hAnsi="Times New Roman" w:cs="Times New Roman"/>
                <w:sz w:val="24"/>
                <w:szCs w:val="24"/>
              </w:rPr>
            </w:pPr>
            <w:r>
              <w:rPr>
                <w:rFonts w:ascii="Times New Roman" w:hAnsi="Times New Roman" w:cs="Times New Roman"/>
                <w:b/>
                <w:sz w:val="24"/>
                <w:szCs w:val="24"/>
              </w:rPr>
              <w:t>SEP</w:t>
            </w:r>
            <w:r w:rsidRPr="00CC5FD4">
              <w:rPr>
                <w:rFonts w:ascii="Times New Roman" w:hAnsi="Times New Roman" w:cs="Times New Roman"/>
                <w:sz w:val="24"/>
                <w:szCs w:val="24"/>
              </w:rPr>
              <w:t xml:space="preserve"> </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1</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 xml:space="preserve">   251 (3.9)</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0.68 (0.46, 1.01)</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0.73 (0.50, 1.06)</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0.88 (0.55, 1.41)</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 xml:space="preserve">  </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2</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2,250 (34.6)</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0.52 (0.35, .78)</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0.63 (0.44, .91)</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0.84 (0.53, 1.33)</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3</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2,929 (45.0)</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0.44 (0.29, .69)</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0.63 (0.42, .93)</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0.77 (0.47, 1.27)</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sz w:val="24"/>
                <w:szCs w:val="24"/>
              </w:rPr>
            </w:pPr>
            <w:r w:rsidRPr="00CC5FD4">
              <w:rPr>
                <w:rFonts w:ascii="Times New Roman" w:hAnsi="Times New Roman" w:cs="Times New Roman"/>
                <w:sz w:val="24"/>
                <w:szCs w:val="24"/>
              </w:rPr>
              <w:t xml:space="preserve">4 </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1,080 (16.6)</w:t>
            </w:r>
          </w:p>
        </w:tc>
        <w:tc>
          <w:tcPr>
            <w:tcW w:w="1843" w:type="dxa"/>
            <w:tcBorders>
              <w:top w:val="nil"/>
              <w:left w:val="nil"/>
              <w:bottom w:val="nil"/>
              <w:right w:val="nil"/>
            </w:tcBorders>
          </w:tcPr>
          <w:p w:rsidR="00827591" w:rsidRPr="00CC5FD4" w:rsidRDefault="00827591" w:rsidP="004E6B0B">
            <w:pPr>
              <w:spacing w:line="276" w:lineRule="auto"/>
              <w:jc w:val="center"/>
              <w:rPr>
                <w:rFonts w:ascii="Times New Roman" w:hAnsi="Times New Roman" w:cs="Times New Roman"/>
                <w:sz w:val="24"/>
                <w:szCs w:val="24"/>
              </w:rPr>
            </w:pPr>
            <w:r w:rsidRPr="00CC5FD4">
              <w:rPr>
                <w:rFonts w:ascii="Times New Roman" w:hAnsi="Times New Roman" w:cs="Times New Roman"/>
                <w:sz w:val="24"/>
                <w:szCs w:val="24"/>
              </w:rPr>
              <w:t>ref</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Pr>
                <w:rFonts w:ascii="Times New Roman" w:hAnsi="Times New Roman" w:cs="Times New Roman"/>
                <w:sz w:val="24"/>
                <w:szCs w:val="24"/>
              </w:rPr>
              <w:t>&lt;</w:t>
            </w:r>
            <w:r w:rsidRPr="00CC5FD4">
              <w:rPr>
                <w:rFonts w:ascii="Times New Roman" w:hAnsi="Times New Roman" w:cs="Times New Roman"/>
                <w:sz w:val="24"/>
                <w:szCs w:val="24"/>
              </w:rPr>
              <w:t>.00</w:t>
            </w:r>
            <w:r>
              <w:rPr>
                <w:rFonts w:ascii="Times New Roman" w:hAnsi="Times New Roman" w:cs="Times New Roman"/>
                <w:sz w:val="24"/>
                <w:szCs w:val="24"/>
              </w:rPr>
              <w:t>1</w:t>
            </w:r>
          </w:p>
        </w:tc>
      </w:tr>
      <w:tr w:rsidR="00827591" w:rsidRPr="00ED0C42" w:rsidTr="004E6B0B">
        <w:tc>
          <w:tcPr>
            <w:tcW w:w="1985" w:type="dxa"/>
            <w:tcBorders>
              <w:top w:val="nil"/>
              <w:left w:val="nil"/>
              <w:bottom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b/>
                <w:sz w:val="24"/>
                <w:szCs w:val="24"/>
              </w:rPr>
              <w:t>Mat depression</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p>
        </w:tc>
      </w:tr>
      <w:tr w:rsidR="00827591" w:rsidRPr="00ED0C42" w:rsidTr="004E6B0B">
        <w:tc>
          <w:tcPr>
            <w:tcW w:w="1985" w:type="dxa"/>
            <w:tcBorders>
              <w:top w:val="nil"/>
              <w:left w:val="nil"/>
              <w:bottom w:val="nil"/>
            </w:tcBorders>
          </w:tcPr>
          <w:p w:rsidR="00827591" w:rsidRPr="00CC5FD4" w:rsidRDefault="00827591" w:rsidP="004E6B0B">
            <w:pPr>
              <w:spacing w:line="276" w:lineRule="auto"/>
              <w:jc w:val="right"/>
              <w:rPr>
                <w:rFonts w:ascii="Times New Roman" w:hAnsi="Times New Roman" w:cs="Times New Roman"/>
                <w:b/>
                <w:sz w:val="24"/>
                <w:szCs w:val="24"/>
              </w:rPr>
            </w:pPr>
            <w:r w:rsidRPr="00CC5FD4">
              <w:rPr>
                <w:rFonts w:ascii="Times New Roman" w:hAnsi="Times New Roman" w:cs="Times New Roman"/>
                <w:sz w:val="24"/>
                <w:szCs w:val="24"/>
              </w:rPr>
              <w:t>Linear term</w:t>
            </w:r>
          </w:p>
        </w:tc>
        <w:tc>
          <w:tcPr>
            <w:tcW w:w="1417" w:type="dxa"/>
            <w:tcBorders>
              <w:top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6,612</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1.11 (1.09, 1.13)</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1.06 (1.04, 1.07)</w:t>
            </w:r>
          </w:p>
        </w:tc>
        <w:tc>
          <w:tcPr>
            <w:tcW w:w="1843"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1.08 (1.06, 1.10)</w:t>
            </w:r>
          </w:p>
        </w:tc>
        <w:tc>
          <w:tcPr>
            <w:tcW w:w="850" w:type="dxa"/>
            <w:tcBorders>
              <w:top w:val="nil"/>
              <w:left w:val="nil"/>
              <w:bottom w:val="nil"/>
              <w:right w:val="nil"/>
            </w:tcBorders>
          </w:tcPr>
          <w:p w:rsidR="00827591" w:rsidRPr="00CC5FD4" w:rsidRDefault="00827591" w:rsidP="004E6B0B">
            <w:pPr>
              <w:spacing w:line="276" w:lineRule="auto"/>
              <w:rPr>
                <w:rFonts w:ascii="Times New Roman" w:hAnsi="Times New Roman" w:cs="Times New Roman"/>
                <w:sz w:val="24"/>
                <w:szCs w:val="24"/>
              </w:rPr>
            </w:pPr>
            <w:r w:rsidRPr="00CC5FD4">
              <w:rPr>
                <w:rFonts w:ascii="Times New Roman" w:hAnsi="Times New Roman" w:cs="Times New Roman"/>
                <w:sz w:val="24"/>
                <w:szCs w:val="24"/>
              </w:rPr>
              <w:t>&lt;.001</w:t>
            </w:r>
          </w:p>
        </w:tc>
      </w:tr>
      <w:tr w:rsidR="00827591" w:rsidRPr="00ED0C42" w:rsidTr="004E6B0B">
        <w:tc>
          <w:tcPr>
            <w:tcW w:w="1985" w:type="dxa"/>
            <w:tcBorders>
              <w:top w:val="nil"/>
              <w:left w:val="nil"/>
              <w:bottom w:val="double" w:sz="4" w:space="0" w:color="auto"/>
            </w:tcBorders>
          </w:tcPr>
          <w:p w:rsidR="00827591" w:rsidRPr="00ED0C42" w:rsidRDefault="00827591" w:rsidP="004E6B0B">
            <w:pPr>
              <w:jc w:val="right"/>
              <w:rPr>
                <w:rFonts w:cs="Times New Roman"/>
                <w:szCs w:val="24"/>
              </w:rPr>
            </w:pPr>
          </w:p>
        </w:tc>
        <w:tc>
          <w:tcPr>
            <w:tcW w:w="1417" w:type="dxa"/>
            <w:tcBorders>
              <w:top w:val="nil"/>
              <w:bottom w:val="double" w:sz="4" w:space="0" w:color="auto"/>
              <w:right w:val="nil"/>
            </w:tcBorders>
          </w:tcPr>
          <w:p w:rsidR="00827591" w:rsidRPr="00ED0C42" w:rsidRDefault="00827591" w:rsidP="004E6B0B">
            <w:pPr>
              <w:rPr>
                <w:rFonts w:cs="Times New Roman"/>
                <w:szCs w:val="24"/>
              </w:rPr>
            </w:pPr>
          </w:p>
        </w:tc>
        <w:tc>
          <w:tcPr>
            <w:tcW w:w="1843" w:type="dxa"/>
            <w:tcBorders>
              <w:top w:val="nil"/>
              <w:left w:val="nil"/>
              <w:bottom w:val="double" w:sz="4" w:space="0" w:color="auto"/>
              <w:right w:val="nil"/>
            </w:tcBorders>
          </w:tcPr>
          <w:p w:rsidR="00827591" w:rsidRPr="00ED0C42" w:rsidRDefault="00827591" w:rsidP="004E6B0B">
            <w:pPr>
              <w:rPr>
                <w:rFonts w:cs="Times New Roman"/>
                <w:szCs w:val="24"/>
              </w:rPr>
            </w:pPr>
          </w:p>
        </w:tc>
        <w:tc>
          <w:tcPr>
            <w:tcW w:w="1843" w:type="dxa"/>
            <w:tcBorders>
              <w:top w:val="nil"/>
              <w:left w:val="nil"/>
              <w:bottom w:val="double" w:sz="4" w:space="0" w:color="auto"/>
              <w:right w:val="nil"/>
            </w:tcBorders>
          </w:tcPr>
          <w:p w:rsidR="00827591" w:rsidRPr="00ED0C42" w:rsidRDefault="00827591" w:rsidP="004E6B0B">
            <w:pPr>
              <w:rPr>
                <w:rFonts w:cs="Times New Roman"/>
                <w:szCs w:val="24"/>
              </w:rPr>
            </w:pPr>
          </w:p>
        </w:tc>
        <w:tc>
          <w:tcPr>
            <w:tcW w:w="1843" w:type="dxa"/>
            <w:tcBorders>
              <w:top w:val="nil"/>
              <w:left w:val="nil"/>
              <w:bottom w:val="double" w:sz="4" w:space="0" w:color="auto"/>
              <w:right w:val="nil"/>
            </w:tcBorders>
          </w:tcPr>
          <w:p w:rsidR="00827591" w:rsidRPr="00ED0C42" w:rsidRDefault="00827591" w:rsidP="004E6B0B">
            <w:pPr>
              <w:rPr>
                <w:rFonts w:cs="Times New Roman"/>
                <w:szCs w:val="24"/>
              </w:rPr>
            </w:pPr>
          </w:p>
        </w:tc>
        <w:tc>
          <w:tcPr>
            <w:tcW w:w="850" w:type="dxa"/>
            <w:tcBorders>
              <w:top w:val="nil"/>
              <w:left w:val="nil"/>
              <w:bottom w:val="double" w:sz="4" w:space="0" w:color="auto"/>
              <w:right w:val="nil"/>
            </w:tcBorders>
          </w:tcPr>
          <w:p w:rsidR="00827591" w:rsidRPr="00ED0C42" w:rsidRDefault="00827591" w:rsidP="004E6B0B">
            <w:pPr>
              <w:rPr>
                <w:rFonts w:cs="Times New Roman"/>
                <w:szCs w:val="24"/>
              </w:rPr>
            </w:pPr>
          </w:p>
        </w:tc>
      </w:tr>
    </w:tbl>
    <w:p w:rsidR="00827591" w:rsidRPr="00ED0C42" w:rsidRDefault="00827591" w:rsidP="00827591">
      <w:pPr>
        <w:spacing w:after="0"/>
        <w:rPr>
          <w:rFonts w:cs="Times New Roman"/>
          <w:i/>
          <w:szCs w:val="24"/>
        </w:rPr>
      </w:pPr>
      <w:r w:rsidRPr="00ED0C42">
        <w:rPr>
          <w:rFonts w:cs="Times New Roman"/>
          <w:i/>
          <w:szCs w:val="24"/>
        </w:rPr>
        <w:t>Note: EOP: early onset persistent, CL: childhood limited, AO: Adolescent onset, the Low group was used as the reference group; SEP</w:t>
      </w:r>
      <w:r>
        <w:rPr>
          <w:rFonts w:cs="Times New Roman"/>
          <w:i/>
          <w:szCs w:val="24"/>
        </w:rPr>
        <w:t>: social economic position was</w:t>
      </w:r>
      <w:r w:rsidRPr="00ED0C42">
        <w:rPr>
          <w:rFonts w:cs="Times New Roman"/>
          <w:i/>
          <w:szCs w:val="24"/>
        </w:rPr>
        <w:t xml:space="preserve"> grouped into 4 categories: 1: unskilled or semiskilled manual; 2: skilled manual or </w:t>
      </w:r>
      <w:proofErr w:type="spellStart"/>
      <w:r w:rsidRPr="00ED0C42">
        <w:rPr>
          <w:rFonts w:cs="Times New Roman"/>
          <w:i/>
          <w:szCs w:val="24"/>
        </w:rPr>
        <w:t>nonmanual</w:t>
      </w:r>
      <w:proofErr w:type="spellEnd"/>
      <w:r w:rsidRPr="00ED0C42">
        <w:rPr>
          <w:rFonts w:cs="Times New Roman"/>
          <w:i/>
          <w:szCs w:val="24"/>
        </w:rPr>
        <w:t>; 3: managerial and technical; and 4: professional</w:t>
      </w:r>
    </w:p>
    <w:p w:rsidR="00A53F3F" w:rsidRDefault="00827591">
      <w:bookmarkStart w:id="0" w:name="_GoBack"/>
      <w:bookmarkEnd w:id="0"/>
    </w:p>
    <w:sectPr w:rsidR="00A53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91"/>
    <w:rsid w:val="001F11E3"/>
    <w:rsid w:val="004D4669"/>
    <w:rsid w:val="00827591"/>
    <w:rsid w:val="00CF7637"/>
    <w:rsid w:val="00EA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1DFEF-7190-4940-A28C-21141616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59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Mahedy</dc:creator>
  <cp:keywords/>
  <dc:description/>
  <cp:lastModifiedBy>W Mahedy</cp:lastModifiedBy>
  <cp:revision>1</cp:revision>
  <dcterms:created xsi:type="dcterms:W3CDTF">2017-05-24T13:05:00Z</dcterms:created>
  <dcterms:modified xsi:type="dcterms:W3CDTF">2017-05-24T13:06:00Z</dcterms:modified>
</cp:coreProperties>
</file>