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3389" w:type="dxa"/>
        <w:tblInd w:w="-459" w:type="dxa"/>
        <w:tblLayout w:type="fixed"/>
        <w:tblLook w:val="04A0" w:firstRow="1" w:lastRow="0" w:firstColumn="1" w:lastColumn="0" w:noHBand="0" w:noVBand="1"/>
      </w:tblPr>
      <w:tblGrid>
        <w:gridCol w:w="1701"/>
        <w:gridCol w:w="1458"/>
        <w:gridCol w:w="102"/>
        <w:gridCol w:w="3113"/>
        <w:gridCol w:w="3546"/>
        <w:gridCol w:w="1843"/>
        <w:gridCol w:w="3679"/>
        <w:gridCol w:w="2844"/>
        <w:gridCol w:w="1985"/>
        <w:gridCol w:w="3118"/>
      </w:tblGrid>
      <w:tr w:rsidR="0041434B" w:rsidRPr="001053BF" w:rsidTr="006146F0">
        <w:trPr>
          <w:trHeight w:val="590"/>
        </w:trPr>
        <w:tc>
          <w:tcPr>
            <w:tcW w:w="3159" w:type="dxa"/>
            <w:gridSpan w:val="2"/>
            <w:tcBorders>
              <w:top w:val="single" w:sz="24" w:space="0" w:color="auto"/>
              <w:left w:val="nil"/>
              <w:bottom w:val="single" w:sz="24" w:space="0" w:color="auto"/>
              <w:right w:val="nil"/>
            </w:tcBorders>
          </w:tcPr>
          <w:p w:rsidR="0041434B" w:rsidRPr="001053BF" w:rsidRDefault="0041434B" w:rsidP="00281145">
            <w:pPr>
              <w:rPr>
                <w:rFonts w:ascii="Times New Roman" w:hAnsi="Times New Roman" w:cs="Times New Roman"/>
              </w:rPr>
            </w:pPr>
          </w:p>
        </w:tc>
        <w:tc>
          <w:tcPr>
            <w:tcW w:w="20230" w:type="dxa"/>
            <w:gridSpan w:val="8"/>
            <w:tcBorders>
              <w:top w:val="single" w:sz="24" w:space="0" w:color="auto"/>
              <w:left w:val="nil"/>
              <w:bottom w:val="single" w:sz="24" w:space="0" w:color="auto"/>
              <w:right w:val="nil"/>
            </w:tcBorders>
          </w:tcPr>
          <w:p w:rsidR="0041434B" w:rsidRPr="001053BF" w:rsidRDefault="00CA7E70" w:rsidP="00CA7E70">
            <w:pP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Compendium of e</w:t>
            </w:r>
            <w:r w:rsidR="0041434B" w:rsidRPr="001053BF">
              <w:rPr>
                <w:rFonts w:ascii="Times New Roman" w:eastAsia="Arial Unicode MS" w:hAnsi="Times New Roman" w:cs="Times New Roman"/>
                <w:b/>
                <w:bCs/>
                <w:sz w:val="24"/>
                <w:szCs w:val="24"/>
              </w:rPr>
              <w:t xml:space="preserve">vidence on analysis of effectiveness of </w:t>
            </w:r>
            <w:r w:rsidRPr="001053BF">
              <w:rPr>
                <w:rFonts w:ascii="Times New Roman" w:eastAsia="Arial Unicode MS" w:hAnsi="Times New Roman" w:cs="Times New Roman"/>
                <w:b/>
                <w:bCs/>
                <w:sz w:val="24"/>
                <w:szCs w:val="24"/>
              </w:rPr>
              <w:t>self-management advice and e</w:t>
            </w:r>
            <w:r w:rsidR="0041434B" w:rsidRPr="001053BF">
              <w:rPr>
                <w:rFonts w:ascii="Times New Roman" w:eastAsia="Arial Unicode MS" w:hAnsi="Times New Roman" w:cs="Times New Roman"/>
                <w:b/>
                <w:bCs/>
                <w:sz w:val="24"/>
                <w:szCs w:val="24"/>
              </w:rPr>
              <w:t>ducation and across regional musculoskeletal pain presentations</w:t>
            </w:r>
          </w:p>
        </w:tc>
      </w:tr>
      <w:tr w:rsidR="006146F0" w:rsidRPr="001053BF" w:rsidTr="00D96004">
        <w:trPr>
          <w:trHeight w:val="1706"/>
        </w:trPr>
        <w:tc>
          <w:tcPr>
            <w:tcW w:w="1701" w:type="dxa"/>
            <w:tcBorders>
              <w:top w:val="single" w:sz="24" w:space="0" w:color="auto"/>
              <w:left w:val="nil"/>
            </w:tcBorders>
          </w:tcPr>
          <w:p w:rsidR="006146F0" w:rsidRPr="001053BF" w:rsidRDefault="006146F0" w:rsidP="006A4E82">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 xml:space="preserve">Regional pain </w:t>
            </w:r>
          </w:p>
          <w:p w:rsidR="006146F0" w:rsidRPr="001053BF" w:rsidRDefault="006146F0" w:rsidP="006A4E82">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Cs/>
                <w:i/>
                <w:sz w:val="24"/>
                <w:szCs w:val="24"/>
              </w:rPr>
              <w:t>(Sub-diagnosis)</w:t>
            </w:r>
          </w:p>
        </w:tc>
        <w:tc>
          <w:tcPr>
            <w:tcW w:w="1560" w:type="dxa"/>
            <w:gridSpan w:val="2"/>
            <w:tcBorders>
              <w:top w:val="single" w:sz="24" w:space="0" w:color="auto"/>
            </w:tcBorders>
          </w:tcPr>
          <w:p w:rsidR="006146F0" w:rsidRPr="001053BF" w:rsidRDefault="006146F0" w:rsidP="00B77815">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Comparison (s)</w:t>
            </w:r>
          </w:p>
        </w:tc>
        <w:tc>
          <w:tcPr>
            <w:tcW w:w="3113" w:type="dxa"/>
            <w:tcBorders>
              <w:top w:val="single" w:sz="24" w:space="0" w:color="auto"/>
            </w:tcBorders>
          </w:tcPr>
          <w:p w:rsidR="006146F0" w:rsidRPr="001053BF" w:rsidRDefault="006146F0" w:rsidP="00321AC3">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 xml:space="preserve">Specific patient profiles/ mediating risk factors </w:t>
            </w:r>
          </w:p>
          <w:p w:rsidR="006146F0" w:rsidRPr="001053BF" w:rsidRDefault="006146F0" w:rsidP="00321AC3">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Cs/>
                <w:i/>
                <w:sz w:val="24"/>
                <w:szCs w:val="24"/>
              </w:rPr>
              <w:t>(e.g., pain severity @baseline; pain duration; previous pain episodes; age; movement restriction; baseline disability)</w:t>
            </w:r>
          </w:p>
        </w:tc>
        <w:tc>
          <w:tcPr>
            <w:tcW w:w="3546" w:type="dxa"/>
            <w:tcBorders>
              <w:top w:val="single" w:sz="24" w:space="0" w:color="auto"/>
            </w:tcBorders>
          </w:tcPr>
          <w:p w:rsidR="006146F0" w:rsidRPr="001053BF" w:rsidRDefault="006146F0" w:rsidP="006A4E82">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Outcomes</w:t>
            </w:r>
          </w:p>
          <w:p w:rsidR="006146F0" w:rsidRPr="001053BF" w:rsidRDefault="006146F0" w:rsidP="00B77815">
            <w:pPr>
              <w:jc w:val="center"/>
              <w:rPr>
                <w:rFonts w:ascii="Times New Roman" w:eastAsia="Arial Unicode MS" w:hAnsi="Times New Roman" w:cs="Times New Roman"/>
                <w:bCs/>
                <w:i/>
                <w:sz w:val="24"/>
                <w:szCs w:val="24"/>
              </w:rPr>
            </w:pPr>
            <w:r w:rsidRPr="001053BF">
              <w:rPr>
                <w:rFonts w:ascii="Times New Roman" w:eastAsia="Arial Unicode MS" w:hAnsi="Times New Roman" w:cs="Times New Roman"/>
                <w:bCs/>
                <w:i/>
                <w:sz w:val="24"/>
                <w:szCs w:val="24"/>
              </w:rPr>
              <w:t>Pain</w:t>
            </w:r>
          </w:p>
          <w:p w:rsidR="006146F0" w:rsidRPr="001053BF" w:rsidRDefault="006146F0" w:rsidP="00B77815">
            <w:pPr>
              <w:jc w:val="center"/>
              <w:rPr>
                <w:rFonts w:ascii="Times New Roman" w:eastAsia="Arial Unicode MS" w:hAnsi="Times New Roman" w:cs="Times New Roman"/>
                <w:bCs/>
                <w:i/>
                <w:sz w:val="24"/>
                <w:szCs w:val="24"/>
              </w:rPr>
            </w:pPr>
            <w:r w:rsidRPr="001053BF">
              <w:rPr>
                <w:rFonts w:ascii="Times New Roman" w:eastAsia="Arial Unicode MS" w:hAnsi="Times New Roman" w:cs="Times New Roman"/>
                <w:bCs/>
                <w:i/>
                <w:sz w:val="24"/>
                <w:szCs w:val="24"/>
              </w:rPr>
              <w:t>Functional Disability</w:t>
            </w:r>
          </w:p>
          <w:p w:rsidR="006146F0" w:rsidRPr="001053BF" w:rsidRDefault="006146F0" w:rsidP="00B77815">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Cs/>
                <w:i/>
                <w:sz w:val="24"/>
                <w:szCs w:val="24"/>
              </w:rPr>
              <w:t xml:space="preserve">&amp; other 2 </w:t>
            </w:r>
            <w:r w:rsidRPr="001053BF">
              <w:rPr>
                <w:rFonts w:ascii="Times New Roman" w:eastAsia="Arial Unicode MS" w:hAnsi="Times New Roman" w:cs="Times New Roman"/>
                <w:bCs/>
                <w:i/>
                <w:sz w:val="24"/>
                <w:szCs w:val="24"/>
                <w:vertAlign w:val="superscript"/>
              </w:rPr>
              <w:t xml:space="preserve">0 </w:t>
            </w:r>
            <w:r w:rsidRPr="001053BF">
              <w:rPr>
                <w:rFonts w:ascii="Times New Roman" w:eastAsia="Arial Unicode MS" w:hAnsi="Times New Roman" w:cs="Times New Roman"/>
                <w:bCs/>
                <w:i/>
                <w:sz w:val="24"/>
                <w:szCs w:val="24"/>
              </w:rPr>
              <w:t>Outcomes</w:t>
            </w:r>
          </w:p>
        </w:tc>
        <w:tc>
          <w:tcPr>
            <w:tcW w:w="1843" w:type="dxa"/>
            <w:tcBorders>
              <w:top w:val="single" w:sz="24" w:space="0" w:color="auto"/>
            </w:tcBorders>
          </w:tcPr>
          <w:p w:rsidR="006146F0" w:rsidRPr="001053BF" w:rsidRDefault="006146F0" w:rsidP="006A4E82">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Long term / short term</w:t>
            </w:r>
          </w:p>
        </w:tc>
        <w:tc>
          <w:tcPr>
            <w:tcW w:w="3679" w:type="dxa"/>
            <w:tcBorders>
              <w:top w:val="single" w:sz="24" w:space="0" w:color="auto"/>
            </w:tcBorders>
          </w:tcPr>
          <w:p w:rsidR="006146F0" w:rsidRPr="001053BF" w:rsidRDefault="006146F0" w:rsidP="006A4E82">
            <w:pPr>
              <w:jc w:val="center"/>
              <w:rPr>
                <w:rFonts w:ascii="Times New Roman" w:eastAsia="Arial Unicode MS" w:hAnsi="Times New Roman" w:cs="Times New Roman"/>
                <w:b/>
                <w:sz w:val="24"/>
                <w:szCs w:val="24"/>
              </w:rPr>
            </w:pPr>
            <w:r w:rsidRPr="001053BF">
              <w:rPr>
                <w:rFonts w:ascii="Times New Roman" w:eastAsia="Arial Unicode MS" w:hAnsi="Times New Roman" w:cs="Times New Roman"/>
                <w:b/>
                <w:sz w:val="24"/>
                <w:szCs w:val="24"/>
              </w:rPr>
              <w:t>Results /Effect size</w:t>
            </w:r>
          </w:p>
        </w:tc>
        <w:tc>
          <w:tcPr>
            <w:tcW w:w="2844" w:type="dxa"/>
            <w:tcBorders>
              <w:top w:val="single" w:sz="24" w:space="0" w:color="auto"/>
            </w:tcBorders>
          </w:tcPr>
          <w:p w:rsidR="006146F0" w:rsidRPr="001053BF" w:rsidRDefault="006146F0" w:rsidP="006A4E82">
            <w:pPr>
              <w:jc w:val="center"/>
              <w:rPr>
                <w:rFonts w:ascii="Times New Roman" w:eastAsia="Arial Unicode MS" w:hAnsi="Times New Roman" w:cs="Times New Roman"/>
                <w:b/>
                <w:sz w:val="24"/>
                <w:szCs w:val="24"/>
              </w:rPr>
            </w:pPr>
            <w:r w:rsidRPr="001053BF">
              <w:rPr>
                <w:rFonts w:ascii="Times New Roman" w:eastAsia="Arial Unicode MS" w:hAnsi="Times New Roman" w:cs="Times New Roman"/>
                <w:b/>
                <w:sz w:val="24"/>
                <w:szCs w:val="24"/>
              </w:rPr>
              <w:t>Specific Diagnostic considerations</w:t>
            </w:r>
          </w:p>
        </w:tc>
        <w:tc>
          <w:tcPr>
            <w:tcW w:w="1985" w:type="dxa"/>
            <w:tcBorders>
              <w:top w:val="single" w:sz="24" w:space="0" w:color="auto"/>
            </w:tcBorders>
          </w:tcPr>
          <w:p w:rsidR="006146F0" w:rsidRPr="001053BF" w:rsidRDefault="006146F0" w:rsidP="00C342D9">
            <w:pP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Grade of evidence</w:t>
            </w:r>
          </w:p>
        </w:tc>
        <w:tc>
          <w:tcPr>
            <w:tcW w:w="3118" w:type="dxa"/>
            <w:tcBorders>
              <w:top w:val="single" w:sz="24" w:space="0" w:color="auto"/>
              <w:bottom w:val="single" w:sz="4" w:space="0" w:color="auto"/>
              <w:right w:val="nil"/>
            </w:tcBorders>
          </w:tcPr>
          <w:p w:rsidR="006146F0" w:rsidRPr="001053BF" w:rsidRDefault="006146F0" w:rsidP="006A4E82">
            <w:pPr>
              <w:jc w:val="center"/>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Comments / summary of evidence</w:t>
            </w:r>
          </w:p>
        </w:tc>
      </w:tr>
      <w:tr w:rsidR="004F09A7" w:rsidRPr="001053BF" w:rsidTr="00B70675">
        <w:trPr>
          <w:trHeight w:val="4852"/>
        </w:trPr>
        <w:tc>
          <w:tcPr>
            <w:tcW w:w="1701" w:type="dxa"/>
            <w:tcBorders>
              <w:top w:val="single" w:sz="4" w:space="0" w:color="auto"/>
              <w:left w:val="nil"/>
            </w:tcBorders>
          </w:tcPr>
          <w:p w:rsidR="004F09A7" w:rsidRPr="001053BF" w:rsidRDefault="004F09A7" w:rsidP="00266F63">
            <w:pPr>
              <w:jc w:val="both"/>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Neck Pain</w:t>
            </w:r>
          </w:p>
          <w:p w:rsidR="004F09A7" w:rsidRPr="001053BF" w:rsidRDefault="004F09A7" w:rsidP="00C1488F">
            <w:pPr>
              <w:pStyle w:val="ListParagraph"/>
              <w:numPr>
                <w:ilvl w:val="0"/>
                <w:numId w:val="32"/>
              </w:numPr>
              <w:spacing w:after="120"/>
              <w:ind w:left="0" w:hanging="113"/>
              <w:contextualSpacing w:val="0"/>
              <w:rPr>
                <w:rFonts w:ascii="Times New Roman" w:eastAsia="Arial Unicode MS" w:hAnsi="Times New Roman" w:cs="Times New Roman"/>
                <w:bCs/>
                <w:i/>
                <w:szCs w:val="24"/>
              </w:rPr>
            </w:pPr>
            <w:r w:rsidRPr="001053BF">
              <w:rPr>
                <w:rFonts w:ascii="Times New Roman" w:eastAsia="Arial Unicode MS" w:hAnsi="Times New Roman" w:cs="Times New Roman"/>
                <w:bCs/>
                <w:i/>
                <w:szCs w:val="24"/>
              </w:rPr>
              <w:t>Whiplash injury/ Whiplash associated disorders (WAD)</w:t>
            </w:r>
          </w:p>
          <w:p w:rsidR="004F09A7" w:rsidRPr="001053BF" w:rsidRDefault="00C1488F" w:rsidP="00C1488F">
            <w:pPr>
              <w:pStyle w:val="ListParagraph"/>
              <w:numPr>
                <w:ilvl w:val="0"/>
                <w:numId w:val="32"/>
              </w:numPr>
              <w:spacing w:after="120"/>
              <w:ind w:left="0" w:hanging="113"/>
              <w:contextualSpacing w:val="0"/>
              <w:rPr>
                <w:rFonts w:ascii="Times New Roman" w:eastAsia="Arial Unicode MS" w:hAnsi="Times New Roman" w:cs="Times New Roman"/>
                <w:bCs/>
                <w:i/>
                <w:szCs w:val="24"/>
              </w:rPr>
            </w:pPr>
            <w:r w:rsidRPr="001053BF">
              <w:rPr>
                <w:rFonts w:ascii="Times New Roman" w:eastAsia="Arial Unicode MS" w:hAnsi="Times New Roman" w:cs="Times New Roman"/>
                <w:bCs/>
                <w:i/>
                <w:szCs w:val="24"/>
              </w:rPr>
              <w:t xml:space="preserve"> Non-specific neck pain</w:t>
            </w:r>
          </w:p>
          <w:p w:rsidR="004F09A7" w:rsidRPr="001053BF" w:rsidRDefault="004F09A7" w:rsidP="00C1488F">
            <w:pPr>
              <w:pStyle w:val="ListParagraph"/>
              <w:numPr>
                <w:ilvl w:val="0"/>
                <w:numId w:val="32"/>
              </w:numPr>
              <w:spacing w:after="120"/>
              <w:ind w:left="0" w:hanging="113"/>
              <w:contextualSpacing w:val="0"/>
              <w:rPr>
                <w:rFonts w:ascii="Times New Roman" w:eastAsia="Arial Unicode MS" w:hAnsi="Times New Roman" w:cs="Times New Roman"/>
                <w:bCs/>
                <w:i/>
                <w:szCs w:val="24"/>
              </w:rPr>
            </w:pPr>
            <w:r w:rsidRPr="001053BF">
              <w:rPr>
                <w:rFonts w:ascii="Times New Roman" w:hAnsi="Times New Roman" w:cs="Times New Roman"/>
                <w:sz w:val="22"/>
              </w:rPr>
              <w:t xml:space="preserve"> </w:t>
            </w:r>
            <w:r w:rsidRPr="001053BF">
              <w:rPr>
                <w:rFonts w:ascii="Times New Roman" w:eastAsia="Arial Unicode MS" w:hAnsi="Times New Roman" w:cs="Times New Roman"/>
                <w:bCs/>
                <w:i/>
                <w:szCs w:val="24"/>
              </w:rPr>
              <w:t>Acute</w:t>
            </w:r>
            <w:r w:rsidR="00C1488F" w:rsidRPr="001053BF">
              <w:rPr>
                <w:rFonts w:ascii="Times New Roman" w:eastAsia="Arial Unicode MS" w:hAnsi="Times New Roman" w:cs="Times New Roman"/>
                <w:bCs/>
                <w:i/>
                <w:szCs w:val="24"/>
              </w:rPr>
              <w:t xml:space="preserve"> torticollis</w:t>
            </w:r>
          </w:p>
          <w:p w:rsidR="003B7EBB" w:rsidRPr="001053BF" w:rsidRDefault="004F09A7" w:rsidP="00C1488F">
            <w:pPr>
              <w:pStyle w:val="ListParagraph"/>
              <w:numPr>
                <w:ilvl w:val="0"/>
                <w:numId w:val="32"/>
              </w:numPr>
              <w:spacing w:after="120"/>
              <w:ind w:left="0" w:hanging="113"/>
              <w:contextualSpacing w:val="0"/>
              <w:rPr>
                <w:rFonts w:ascii="Times New Roman" w:eastAsia="Arial Unicode MS" w:hAnsi="Times New Roman" w:cs="Times New Roman"/>
                <w:bCs/>
                <w:i/>
                <w:sz w:val="22"/>
                <w:szCs w:val="24"/>
              </w:rPr>
            </w:pPr>
            <w:r w:rsidRPr="001053BF">
              <w:rPr>
                <w:rFonts w:ascii="Times New Roman" w:eastAsia="Arial Unicode MS" w:hAnsi="Times New Roman" w:cs="Times New Roman"/>
                <w:bCs/>
                <w:i/>
                <w:szCs w:val="24"/>
              </w:rPr>
              <w:t xml:space="preserve">Cervical </w:t>
            </w:r>
            <w:proofErr w:type="spellStart"/>
            <w:r w:rsidRPr="001053BF">
              <w:rPr>
                <w:rFonts w:ascii="Times New Roman" w:eastAsia="Arial Unicode MS" w:hAnsi="Times New Roman" w:cs="Times New Roman"/>
                <w:bCs/>
                <w:i/>
                <w:szCs w:val="24"/>
              </w:rPr>
              <w:t>radiculo</w:t>
            </w:r>
            <w:r w:rsidR="003B7EBB" w:rsidRPr="001053BF">
              <w:rPr>
                <w:rFonts w:ascii="Times New Roman" w:eastAsia="Arial Unicode MS" w:hAnsi="Times New Roman" w:cs="Times New Roman"/>
                <w:bCs/>
                <w:i/>
                <w:szCs w:val="24"/>
              </w:rPr>
              <w:t>-</w:t>
            </w:r>
            <w:r w:rsidRPr="001053BF">
              <w:rPr>
                <w:rFonts w:ascii="Times New Roman" w:eastAsia="Arial Unicode MS" w:hAnsi="Times New Roman" w:cs="Times New Roman"/>
                <w:bCs/>
                <w:i/>
                <w:szCs w:val="24"/>
              </w:rPr>
              <w:t>pathy</w:t>
            </w:r>
            <w:proofErr w:type="spellEnd"/>
            <w:r w:rsidR="00F867C7" w:rsidRPr="001053BF">
              <w:rPr>
                <w:rFonts w:ascii="Times New Roman" w:eastAsia="Arial Unicode MS" w:hAnsi="Times New Roman" w:cs="Times New Roman"/>
                <w:bCs/>
                <w:i/>
                <w:szCs w:val="24"/>
              </w:rPr>
              <w:t>.</w:t>
            </w:r>
          </w:p>
          <w:p w:rsidR="004F09A7" w:rsidRPr="001053BF" w:rsidRDefault="004F09A7" w:rsidP="003B7EBB">
            <w:pPr>
              <w:ind w:left="57"/>
              <w:jc w:val="both"/>
              <w:rPr>
                <w:rFonts w:ascii="Times New Roman" w:eastAsia="Arial Unicode MS" w:hAnsi="Times New Roman" w:cs="Times New Roman"/>
                <w:b/>
                <w:bCs/>
                <w:sz w:val="24"/>
                <w:szCs w:val="24"/>
              </w:rPr>
            </w:pPr>
          </w:p>
        </w:tc>
        <w:tc>
          <w:tcPr>
            <w:tcW w:w="1560" w:type="dxa"/>
            <w:gridSpan w:val="2"/>
            <w:tcBorders>
              <w:top w:val="single" w:sz="4" w:space="0" w:color="auto"/>
            </w:tcBorders>
          </w:tcPr>
          <w:p w:rsidR="004F09A7" w:rsidRPr="001053BF" w:rsidRDefault="004F09A7" w:rsidP="00321AC3">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 </w:t>
            </w:r>
            <w:r w:rsidR="00320DDD" w:rsidRPr="001053BF">
              <w:rPr>
                <w:rFonts w:ascii="Times New Roman" w:eastAsia="Arial Unicode MS" w:hAnsi="Times New Roman" w:cs="Times New Roman"/>
                <w:sz w:val="24"/>
                <w:szCs w:val="24"/>
                <w:lang w:eastAsia="en-GB"/>
              </w:rPr>
              <w:t>No intervention/ Usual care</w:t>
            </w:r>
          </w:p>
        </w:tc>
        <w:tc>
          <w:tcPr>
            <w:tcW w:w="3113" w:type="dxa"/>
            <w:tcBorders>
              <w:top w:val="single" w:sz="4" w:space="0" w:color="auto"/>
            </w:tcBorders>
          </w:tcPr>
          <w:p w:rsidR="004F09A7" w:rsidRPr="001053BF" w:rsidRDefault="00321AC3" w:rsidP="0041434B">
            <w:pPr>
              <w:pStyle w:val="ListParagraph"/>
              <w:ind w:left="113"/>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Acute pain conditions</w:t>
            </w:r>
          </w:p>
        </w:tc>
        <w:tc>
          <w:tcPr>
            <w:tcW w:w="3546" w:type="dxa"/>
            <w:tcBorders>
              <w:top w:val="single" w:sz="4" w:space="0" w:color="auto"/>
            </w:tcBorders>
          </w:tcPr>
          <w:p w:rsidR="004F09A7" w:rsidRPr="001053BF" w:rsidRDefault="004F09A7" w:rsidP="00321AC3">
            <w:pPr>
              <w:pStyle w:val="ListParagraph"/>
              <w:ind w:left="113"/>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 xml:space="preserve">Reduction in pain and disability  </w:t>
            </w:r>
            <w:r w:rsidR="00321AC3" w:rsidRPr="001053BF">
              <w:rPr>
                <w:rFonts w:ascii="Times New Roman" w:eastAsia="Arial Unicode MS" w:hAnsi="Times New Roman" w:cs="Times New Roman"/>
                <w:szCs w:val="24"/>
                <w:lang w:eastAsia="en-GB"/>
              </w:rPr>
              <w:t>I</w:t>
            </w:r>
            <w:r w:rsidRPr="001053BF">
              <w:rPr>
                <w:rFonts w:ascii="Times New Roman" w:eastAsia="Arial Unicode MS" w:hAnsi="Times New Roman" w:cs="Times New Roman"/>
                <w:szCs w:val="24"/>
                <w:lang w:eastAsia="en-GB"/>
              </w:rPr>
              <w:t>mprovement in function</w:t>
            </w:r>
          </w:p>
        </w:tc>
        <w:tc>
          <w:tcPr>
            <w:tcW w:w="1843" w:type="dxa"/>
            <w:tcBorders>
              <w:top w:val="single" w:sz="4" w:space="0" w:color="auto"/>
            </w:tcBorders>
          </w:tcPr>
          <w:p w:rsidR="004F09A7" w:rsidRPr="001053BF" w:rsidRDefault="00BE48F3" w:rsidP="00BE48F3">
            <w:pPr>
              <w:pStyle w:val="ListParagraph"/>
              <w:ind w:left="175"/>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 xml:space="preserve">Mostly in the short term. Current evidence base has little or no information on the long term effects of education and self-management </w:t>
            </w:r>
            <w:r w:rsidR="0073240F" w:rsidRPr="001053BF">
              <w:rPr>
                <w:rFonts w:ascii="Times New Roman" w:eastAsia="Arial Unicode MS" w:hAnsi="Times New Roman" w:cs="Times New Roman"/>
                <w:szCs w:val="24"/>
                <w:lang w:eastAsia="en-GB"/>
              </w:rPr>
              <w:t>advice</w:t>
            </w:r>
            <w:r w:rsidRPr="001053BF">
              <w:rPr>
                <w:rFonts w:ascii="Times New Roman" w:eastAsia="Arial Unicode MS" w:hAnsi="Times New Roman" w:cs="Times New Roman"/>
                <w:szCs w:val="24"/>
                <w:lang w:eastAsia="en-GB"/>
              </w:rPr>
              <w:t xml:space="preserve"> on pain and disability outcomes.</w:t>
            </w:r>
          </w:p>
        </w:tc>
        <w:tc>
          <w:tcPr>
            <w:tcW w:w="3679" w:type="dxa"/>
            <w:tcBorders>
              <w:top w:val="single" w:sz="4" w:space="0" w:color="auto"/>
            </w:tcBorders>
          </w:tcPr>
          <w:p w:rsidR="004F09A7" w:rsidRPr="001053BF" w:rsidRDefault="004F09A7" w:rsidP="0041434B">
            <w:pPr>
              <w:pStyle w:val="ListParagraph"/>
              <w:ind w:left="177"/>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 xml:space="preserve">Education and </w:t>
            </w:r>
            <w:r w:rsidR="00321AC3" w:rsidRPr="001053BF">
              <w:rPr>
                <w:rFonts w:ascii="Times New Roman" w:eastAsia="Arial Unicode MS" w:hAnsi="Times New Roman" w:cs="Times New Roman"/>
                <w:szCs w:val="24"/>
                <w:lang w:eastAsia="en-GB"/>
              </w:rPr>
              <w:t>advice</w:t>
            </w:r>
            <w:r w:rsidRPr="001053BF">
              <w:rPr>
                <w:rFonts w:ascii="Times New Roman" w:eastAsia="Arial Unicode MS" w:hAnsi="Times New Roman" w:cs="Times New Roman"/>
                <w:szCs w:val="24"/>
                <w:lang w:eastAsia="en-GB"/>
              </w:rPr>
              <w:t xml:space="preserve"> on prognosis and self-care (such as </w:t>
            </w:r>
            <w:r w:rsidR="00321AC3" w:rsidRPr="001053BF">
              <w:rPr>
                <w:rFonts w:ascii="Times New Roman" w:eastAsia="Arial Unicode MS" w:hAnsi="Times New Roman" w:cs="Times New Roman"/>
                <w:szCs w:val="24"/>
                <w:lang w:eastAsia="en-GB"/>
              </w:rPr>
              <w:t>encouraging the</w:t>
            </w:r>
            <w:r w:rsidRPr="001053BF">
              <w:rPr>
                <w:rFonts w:ascii="Times New Roman" w:eastAsia="Arial Unicode MS" w:hAnsi="Times New Roman" w:cs="Times New Roman"/>
                <w:szCs w:val="24"/>
                <w:lang w:eastAsia="en-GB"/>
              </w:rPr>
              <w:t xml:space="preserve"> patient to stay active, discourage the use of cervical collars, and appropr</w:t>
            </w:r>
            <w:r w:rsidR="00321AC3" w:rsidRPr="001053BF">
              <w:rPr>
                <w:rFonts w:ascii="Times New Roman" w:eastAsia="Arial Unicode MS" w:hAnsi="Times New Roman" w:cs="Times New Roman"/>
                <w:szCs w:val="24"/>
                <w:lang w:eastAsia="en-GB"/>
              </w:rPr>
              <w:t xml:space="preserve">iate support with 1 </w:t>
            </w:r>
            <w:r w:rsidR="006146F0" w:rsidRPr="001053BF">
              <w:rPr>
                <w:rFonts w:ascii="Times New Roman" w:eastAsia="Arial Unicode MS" w:hAnsi="Times New Roman" w:cs="Times New Roman"/>
                <w:b/>
                <w:szCs w:val="24"/>
                <w:lang w:eastAsia="en-GB"/>
              </w:rPr>
              <w:t>(not 2 or more)</w:t>
            </w:r>
            <w:r w:rsidR="006146F0" w:rsidRPr="001053BF">
              <w:rPr>
                <w:rFonts w:ascii="Times New Roman" w:eastAsia="Arial Unicode MS" w:hAnsi="Times New Roman" w:cs="Times New Roman"/>
                <w:szCs w:val="24"/>
                <w:lang w:eastAsia="en-GB"/>
              </w:rPr>
              <w:t xml:space="preserve"> </w:t>
            </w:r>
            <w:r w:rsidR="00321AC3" w:rsidRPr="001053BF">
              <w:rPr>
                <w:rFonts w:ascii="Times New Roman" w:eastAsia="Arial Unicode MS" w:hAnsi="Times New Roman" w:cs="Times New Roman"/>
                <w:szCs w:val="24"/>
                <w:lang w:eastAsia="en-GB"/>
              </w:rPr>
              <w:t xml:space="preserve">firm pillow </w:t>
            </w:r>
            <w:r w:rsidRPr="001053BF">
              <w:rPr>
                <w:rFonts w:ascii="Times New Roman" w:eastAsia="Arial Unicode MS" w:hAnsi="Times New Roman" w:cs="Times New Roman"/>
                <w:szCs w:val="24"/>
                <w:lang w:eastAsia="en-GB"/>
              </w:rPr>
              <w:t xml:space="preserve">are effective for relieving </w:t>
            </w:r>
            <w:r w:rsidR="00321AC3" w:rsidRPr="001053BF">
              <w:rPr>
                <w:rFonts w:ascii="Times New Roman" w:eastAsia="Arial Unicode MS" w:hAnsi="Times New Roman" w:cs="Times New Roman"/>
                <w:szCs w:val="24"/>
                <w:lang w:eastAsia="en-GB"/>
              </w:rPr>
              <w:t>neck pain.</w:t>
            </w:r>
            <w:r w:rsidRPr="001053BF">
              <w:rPr>
                <w:rFonts w:ascii="Times New Roman" w:eastAsia="Arial Unicode MS" w:hAnsi="Times New Roman" w:cs="Times New Roman"/>
                <w:szCs w:val="24"/>
                <w:lang w:eastAsia="en-GB"/>
              </w:rPr>
              <w:t xml:space="preserve"> </w:t>
            </w:r>
          </w:p>
          <w:p w:rsidR="004F09A7" w:rsidRPr="001053BF" w:rsidRDefault="004F09A7" w:rsidP="00BE48F3">
            <w:pPr>
              <w:pStyle w:val="ListParagraph"/>
              <w:ind w:left="177"/>
              <w:rPr>
                <w:rFonts w:ascii="Times New Roman" w:eastAsia="Arial Unicode MS" w:hAnsi="Times New Roman" w:cs="Times New Roman"/>
                <w:szCs w:val="24"/>
                <w:lang w:eastAsia="en-GB"/>
              </w:rPr>
            </w:pPr>
          </w:p>
          <w:p w:rsidR="006146F0" w:rsidRPr="001053BF" w:rsidRDefault="006146F0" w:rsidP="00B70675">
            <w:pPr>
              <w:pStyle w:val="ListParagraph"/>
              <w:ind w:left="177"/>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 xml:space="preserve">While mostly found to be effective, empirical effects are either small and effects are difficult to isolate as education and advice for neck pain are often offered in combination with other interventions including pharmacology, and or exercise. </w:t>
            </w:r>
          </w:p>
        </w:tc>
        <w:tc>
          <w:tcPr>
            <w:tcW w:w="2844" w:type="dxa"/>
            <w:tcBorders>
              <w:top w:val="single" w:sz="4" w:space="0" w:color="auto"/>
            </w:tcBorders>
          </w:tcPr>
          <w:p w:rsidR="004F09A7" w:rsidRPr="001053BF" w:rsidRDefault="00BE48F3" w:rsidP="00BE48F3">
            <w:pPr>
              <w:pStyle w:val="ListParagraph"/>
              <w:ind w:left="176"/>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Limited evidence from reviews  show that education and advice strategies produce limited benefit for pain, function, global perceived effect, quality of life, or satisfaction in patients with cervical radiculopathy symptoms (Gross et al 2012).</w:t>
            </w:r>
          </w:p>
        </w:tc>
        <w:tc>
          <w:tcPr>
            <w:tcW w:w="1985" w:type="dxa"/>
            <w:tcBorders>
              <w:top w:val="single" w:sz="4" w:space="0" w:color="auto"/>
            </w:tcBorders>
          </w:tcPr>
          <w:p w:rsidR="004F09A7" w:rsidRPr="001053BF" w:rsidRDefault="002077B5" w:rsidP="002077B5">
            <w:pPr>
              <w:pStyle w:val="ListParagraph"/>
              <w:ind w:left="177"/>
              <w:rPr>
                <w:rFonts w:ascii="Times New Roman" w:eastAsia="Arial Unicode MS" w:hAnsi="Times New Roman" w:cs="Times New Roman"/>
                <w:b/>
                <w:szCs w:val="24"/>
                <w:lang w:eastAsia="en-GB"/>
              </w:rPr>
            </w:pPr>
            <w:r w:rsidRPr="001053BF">
              <w:rPr>
                <w:rFonts w:ascii="Times New Roman" w:eastAsia="Arial Unicode MS" w:hAnsi="Times New Roman" w:cs="Times New Roman"/>
                <w:b/>
                <w:szCs w:val="24"/>
                <w:lang w:eastAsia="en-GB"/>
              </w:rPr>
              <w:t>**Limited evidence</w:t>
            </w:r>
          </w:p>
        </w:tc>
        <w:tc>
          <w:tcPr>
            <w:tcW w:w="3118" w:type="dxa"/>
            <w:tcBorders>
              <w:top w:val="single" w:sz="4" w:space="0" w:color="auto"/>
              <w:bottom w:val="single" w:sz="4" w:space="0" w:color="auto"/>
              <w:right w:val="nil"/>
            </w:tcBorders>
          </w:tcPr>
          <w:p w:rsidR="00321AC3" w:rsidRPr="001053BF" w:rsidRDefault="0073240F" w:rsidP="0073240F">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Evidence that o</w:t>
            </w:r>
            <w:r w:rsidR="00321AC3" w:rsidRPr="001053BF">
              <w:rPr>
                <w:rFonts w:ascii="Times New Roman" w:eastAsia="Arial Unicode MS" w:hAnsi="Times New Roman" w:cs="Times New Roman"/>
                <w:szCs w:val="24"/>
                <w:lang w:eastAsia="en-GB"/>
              </w:rPr>
              <w:t xml:space="preserve">ral and written advice, education as part of exercise &amp; behavioural programs are effective for reducing pain and disability and improving function in patients with acute </w:t>
            </w:r>
            <w:r w:rsidRPr="001053BF">
              <w:rPr>
                <w:rFonts w:ascii="Times New Roman" w:eastAsia="Arial Unicode MS" w:hAnsi="Times New Roman" w:cs="Times New Roman"/>
                <w:szCs w:val="24"/>
                <w:lang w:eastAsia="en-GB"/>
              </w:rPr>
              <w:t>neck pain are mostly gathered from expert opinions in guidelines and other reviews</w:t>
            </w:r>
            <w:r w:rsidR="00321AC3" w:rsidRPr="001053BF">
              <w:rPr>
                <w:rFonts w:ascii="Times New Roman" w:eastAsia="Arial Unicode MS" w:hAnsi="Times New Roman" w:cs="Times New Roman"/>
                <w:szCs w:val="24"/>
                <w:lang w:eastAsia="en-GB"/>
              </w:rPr>
              <w:t xml:space="preserve"> (MOM 2014; </w:t>
            </w:r>
            <w:proofErr w:type="spellStart"/>
            <w:r w:rsidR="00321AC3" w:rsidRPr="001053BF">
              <w:rPr>
                <w:rFonts w:ascii="Times New Roman" w:eastAsia="Arial Unicode MS" w:hAnsi="Times New Roman" w:cs="Times New Roman"/>
                <w:szCs w:val="24"/>
                <w:lang w:eastAsia="en-GB"/>
              </w:rPr>
              <w:t>Meeus</w:t>
            </w:r>
            <w:proofErr w:type="spellEnd"/>
            <w:r w:rsidR="00321AC3" w:rsidRPr="001053BF">
              <w:rPr>
                <w:rFonts w:ascii="Times New Roman" w:eastAsia="Arial Unicode MS" w:hAnsi="Times New Roman" w:cs="Times New Roman"/>
                <w:szCs w:val="24"/>
                <w:lang w:eastAsia="en-GB"/>
              </w:rPr>
              <w:t xml:space="preserve"> et al 2012)</w:t>
            </w:r>
            <w:r w:rsidRPr="001053BF">
              <w:rPr>
                <w:rFonts w:ascii="Times New Roman" w:eastAsia="Arial Unicode MS" w:hAnsi="Times New Roman" w:cs="Times New Roman"/>
                <w:szCs w:val="24"/>
                <w:lang w:eastAsia="en-GB"/>
              </w:rPr>
              <w:t>.</w:t>
            </w:r>
          </w:p>
        </w:tc>
      </w:tr>
      <w:tr w:rsidR="003B7EBB" w:rsidRPr="001053BF" w:rsidTr="00B70675">
        <w:trPr>
          <w:trHeight w:val="4455"/>
        </w:trPr>
        <w:tc>
          <w:tcPr>
            <w:tcW w:w="1701" w:type="dxa"/>
            <w:tcBorders>
              <w:top w:val="single" w:sz="4" w:space="0" w:color="auto"/>
              <w:left w:val="nil"/>
              <w:bottom w:val="single" w:sz="4" w:space="0" w:color="auto"/>
            </w:tcBorders>
          </w:tcPr>
          <w:p w:rsidR="003B7EBB" w:rsidRPr="001053BF" w:rsidRDefault="003B7EBB" w:rsidP="003E3813">
            <w:pPr>
              <w:jc w:val="both"/>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Shoulder pain</w:t>
            </w:r>
          </w:p>
          <w:p w:rsidR="003B7EBB" w:rsidRPr="001053BF" w:rsidRDefault="003B7EBB" w:rsidP="00C1488F">
            <w:pPr>
              <w:pStyle w:val="ListParagraph"/>
              <w:numPr>
                <w:ilvl w:val="0"/>
                <w:numId w:val="32"/>
              </w:numPr>
              <w:spacing w:after="120"/>
              <w:ind w:left="56" w:hanging="113"/>
              <w:contextualSpacing w:val="0"/>
              <w:jc w:val="both"/>
              <w:rPr>
                <w:rFonts w:ascii="Times New Roman" w:eastAsia="Arial Unicode MS" w:hAnsi="Times New Roman" w:cs="Times New Roman"/>
                <w:bCs/>
                <w:i/>
                <w:sz w:val="20"/>
                <w:szCs w:val="24"/>
              </w:rPr>
            </w:pPr>
            <w:r w:rsidRPr="001053BF">
              <w:rPr>
                <w:rFonts w:ascii="Times New Roman" w:eastAsia="Arial Unicode MS" w:hAnsi="Times New Roman" w:cs="Times New Roman"/>
                <w:bCs/>
                <w:i/>
                <w:szCs w:val="24"/>
              </w:rPr>
              <w:t>General shoulder pain</w:t>
            </w:r>
          </w:p>
          <w:p w:rsidR="003B7EBB" w:rsidRPr="001053BF" w:rsidRDefault="003B7EBB" w:rsidP="00C1488F">
            <w:pPr>
              <w:pStyle w:val="ListParagraph"/>
              <w:numPr>
                <w:ilvl w:val="0"/>
                <w:numId w:val="32"/>
              </w:numPr>
              <w:spacing w:after="120"/>
              <w:ind w:left="56" w:hanging="113"/>
              <w:contextualSpacing w:val="0"/>
              <w:jc w:val="both"/>
              <w:rPr>
                <w:rFonts w:ascii="Times New Roman" w:eastAsia="Arial Unicode MS" w:hAnsi="Times New Roman" w:cs="Times New Roman"/>
                <w:bCs/>
                <w:i/>
                <w:sz w:val="20"/>
                <w:szCs w:val="24"/>
              </w:rPr>
            </w:pPr>
            <w:r w:rsidRPr="001053BF">
              <w:rPr>
                <w:rFonts w:ascii="Times New Roman" w:eastAsia="Arial Unicode MS" w:hAnsi="Times New Roman" w:cs="Times New Roman"/>
                <w:bCs/>
                <w:i/>
                <w:szCs w:val="24"/>
              </w:rPr>
              <w:t>Rotator cuff disorders</w:t>
            </w:r>
          </w:p>
          <w:p w:rsidR="003B7EBB" w:rsidRPr="001053BF" w:rsidRDefault="003B7EBB" w:rsidP="00C1488F">
            <w:pPr>
              <w:pStyle w:val="ListParagraph"/>
              <w:numPr>
                <w:ilvl w:val="0"/>
                <w:numId w:val="32"/>
              </w:numPr>
              <w:spacing w:after="120"/>
              <w:ind w:left="56" w:hanging="113"/>
              <w:contextualSpacing w:val="0"/>
              <w:jc w:val="both"/>
              <w:rPr>
                <w:rFonts w:ascii="Times New Roman" w:eastAsia="Arial Unicode MS" w:hAnsi="Times New Roman" w:cs="Times New Roman"/>
                <w:bCs/>
                <w:i/>
                <w:sz w:val="20"/>
                <w:szCs w:val="24"/>
              </w:rPr>
            </w:pPr>
            <w:r w:rsidRPr="001053BF">
              <w:rPr>
                <w:rFonts w:ascii="Times New Roman" w:eastAsia="Arial Unicode MS" w:hAnsi="Times New Roman" w:cs="Times New Roman"/>
                <w:bCs/>
                <w:i/>
                <w:szCs w:val="24"/>
              </w:rPr>
              <w:t>Shoulder impingement syndrome</w:t>
            </w:r>
          </w:p>
          <w:p w:rsidR="003B7EBB" w:rsidRPr="001053BF" w:rsidRDefault="003B7EBB" w:rsidP="00C1488F">
            <w:pPr>
              <w:pStyle w:val="ListParagraph"/>
              <w:numPr>
                <w:ilvl w:val="0"/>
                <w:numId w:val="32"/>
              </w:numPr>
              <w:spacing w:after="120"/>
              <w:ind w:left="56" w:hanging="113"/>
              <w:contextualSpacing w:val="0"/>
              <w:jc w:val="both"/>
              <w:rPr>
                <w:rFonts w:ascii="Times New Roman" w:eastAsia="Arial Unicode MS" w:hAnsi="Times New Roman" w:cs="Times New Roman"/>
                <w:bCs/>
                <w:i/>
                <w:sz w:val="20"/>
                <w:szCs w:val="24"/>
              </w:rPr>
            </w:pPr>
            <w:r w:rsidRPr="001053BF">
              <w:rPr>
                <w:rFonts w:ascii="Times New Roman" w:eastAsia="Arial Unicode MS" w:hAnsi="Times New Roman" w:cs="Times New Roman"/>
                <w:bCs/>
                <w:i/>
                <w:szCs w:val="24"/>
              </w:rPr>
              <w:t>Frozen shoulder/Adhesive Capsulitis</w:t>
            </w:r>
          </w:p>
          <w:p w:rsidR="003B7EBB" w:rsidRPr="001053BF" w:rsidRDefault="003B7EBB" w:rsidP="00B70675">
            <w:pPr>
              <w:pStyle w:val="ListParagraph"/>
              <w:numPr>
                <w:ilvl w:val="0"/>
                <w:numId w:val="32"/>
              </w:numPr>
              <w:spacing w:after="120"/>
              <w:ind w:left="56" w:hanging="113"/>
              <w:contextualSpacing w:val="0"/>
              <w:jc w:val="both"/>
              <w:rPr>
                <w:rFonts w:ascii="Times New Roman" w:eastAsia="Arial Unicode MS" w:hAnsi="Times New Roman" w:cs="Times New Roman"/>
                <w:b/>
                <w:bCs/>
                <w:szCs w:val="24"/>
              </w:rPr>
            </w:pPr>
            <w:proofErr w:type="spellStart"/>
            <w:r w:rsidRPr="001053BF">
              <w:rPr>
                <w:rFonts w:ascii="Times New Roman" w:eastAsia="Arial Unicode MS" w:hAnsi="Times New Roman" w:cs="Times New Roman"/>
                <w:bCs/>
                <w:i/>
                <w:szCs w:val="24"/>
              </w:rPr>
              <w:t>Acromioclavi</w:t>
            </w:r>
            <w:r w:rsidR="00C1488F" w:rsidRPr="001053BF">
              <w:rPr>
                <w:rFonts w:ascii="Times New Roman" w:eastAsia="Arial Unicode MS" w:hAnsi="Times New Roman" w:cs="Times New Roman"/>
                <w:bCs/>
                <w:i/>
                <w:szCs w:val="24"/>
              </w:rPr>
              <w:t>-</w:t>
            </w:r>
            <w:r w:rsidRPr="001053BF">
              <w:rPr>
                <w:rFonts w:ascii="Times New Roman" w:eastAsia="Arial Unicode MS" w:hAnsi="Times New Roman" w:cs="Times New Roman"/>
                <w:bCs/>
                <w:i/>
                <w:szCs w:val="24"/>
              </w:rPr>
              <w:t>cular</w:t>
            </w:r>
            <w:proofErr w:type="spellEnd"/>
            <w:r w:rsidRPr="001053BF">
              <w:rPr>
                <w:rFonts w:ascii="Times New Roman" w:eastAsia="Arial Unicode MS" w:hAnsi="Times New Roman" w:cs="Times New Roman"/>
                <w:bCs/>
                <w:i/>
                <w:szCs w:val="24"/>
              </w:rPr>
              <w:t xml:space="preserve"> joint disorder</w:t>
            </w:r>
          </w:p>
        </w:tc>
        <w:tc>
          <w:tcPr>
            <w:tcW w:w="1560" w:type="dxa"/>
            <w:gridSpan w:val="2"/>
            <w:tcBorders>
              <w:top w:val="single" w:sz="4" w:space="0" w:color="auto"/>
              <w:bottom w:val="single" w:sz="4" w:space="0" w:color="auto"/>
            </w:tcBorders>
          </w:tcPr>
          <w:p w:rsidR="003B7EBB" w:rsidRPr="001053BF" w:rsidRDefault="00320DDD" w:rsidP="009A19F6">
            <w:pPr>
              <w:pStyle w:val="ListParagraph"/>
              <w:ind w:left="175"/>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No intervention/ Usual care</w:t>
            </w:r>
          </w:p>
        </w:tc>
        <w:tc>
          <w:tcPr>
            <w:tcW w:w="3113" w:type="dxa"/>
            <w:tcBorders>
              <w:top w:val="single" w:sz="4" w:space="0" w:color="auto"/>
              <w:bottom w:val="single" w:sz="4" w:space="0" w:color="auto"/>
            </w:tcBorders>
          </w:tcPr>
          <w:p w:rsidR="003B7EBB" w:rsidRPr="001053BF" w:rsidRDefault="00FC70F2" w:rsidP="00FC70F2">
            <w:pPr>
              <w:pStyle w:val="ListParagraph"/>
              <w:ind w:left="175"/>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 xml:space="preserve">Evidence reviewed across a wide range of patient prognostic profiles </w:t>
            </w:r>
            <w:r w:rsidR="00C35BF8" w:rsidRPr="001053BF">
              <w:rPr>
                <w:rFonts w:ascii="Times New Roman" w:eastAsia="Arial Unicode MS" w:hAnsi="Times New Roman" w:cs="Times New Roman"/>
                <w:szCs w:val="24"/>
                <w:lang w:eastAsia="en-GB"/>
              </w:rPr>
              <w:t>including</w:t>
            </w:r>
            <w:r w:rsidRPr="001053BF">
              <w:rPr>
                <w:rFonts w:ascii="Times New Roman" w:eastAsia="Arial Unicode MS" w:hAnsi="Times New Roman" w:cs="Times New Roman"/>
                <w:szCs w:val="24"/>
                <w:lang w:eastAsia="en-GB"/>
              </w:rPr>
              <w:t xml:space="preserve"> acute and chronic situations,  recurrent shoulder pain diagnosis, high to low baseline pain and disability</w:t>
            </w:r>
          </w:p>
        </w:tc>
        <w:tc>
          <w:tcPr>
            <w:tcW w:w="3546" w:type="dxa"/>
            <w:tcBorders>
              <w:top w:val="single" w:sz="4" w:space="0" w:color="auto"/>
              <w:bottom w:val="single" w:sz="4" w:space="0" w:color="auto"/>
            </w:tcBorders>
          </w:tcPr>
          <w:p w:rsidR="003B7EBB" w:rsidRPr="001053BF" w:rsidRDefault="00C35BF8" w:rsidP="002F1127">
            <w:pPr>
              <w:pStyle w:val="ListParagraph"/>
              <w:ind w:left="175"/>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Pain</w:t>
            </w:r>
          </w:p>
          <w:p w:rsidR="00C35BF8" w:rsidRPr="001053BF" w:rsidRDefault="00C35BF8" w:rsidP="00C35BF8">
            <w:pPr>
              <w:pStyle w:val="ListParagraph"/>
              <w:ind w:left="175"/>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Function / disability</w:t>
            </w:r>
          </w:p>
        </w:tc>
        <w:tc>
          <w:tcPr>
            <w:tcW w:w="1843" w:type="dxa"/>
            <w:tcBorders>
              <w:top w:val="single" w:sz="4" w:space="0" w:color="auto"/>
              <w:bottom w:val="single" w:sz="4" w:space="0" w:color="auto"/>
            </w:tcBorders>
          </w:tcPr>
          <w:p w:rsidR="003B7EBB" w:rsidRPr="001053BF" w:rsidRDefault="00C35BF8" w:rsidP="00C35BF8">
            <w:pPr>
              <w:pStyle w:val="ListParagraph"/>
              <w:ind w:left="459"/>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Long  and short term</w:t>
            </w:r>
          </w:p>
        </w:tc>
        <w:tc>
          <w:tcPr>
            <w:tcW w:w="3679" w:type="dxa"/>
            <w:tcBorders>
              <w:top w:val="single" w:sz="4" w:space="0" w:color="auto"/>
              <w:bottom w:val="single" w:sz="4" w:space="0" w:color="auto"/>
            </w:tcBorders>
          </w:tcPr>
          <w:p w:rsidR="003B7EBB" w:rsidRPr="001053BF" w:rsidRDefault="00C35BF8" w:rsidP="00F867C7">
            <w:pPr>
              <w:spacing w:after="200" w:line="276" w:lineRule="auto"/>
              <w:ind w:left="175"/>
              <w:contextualSpacing/>
              <w:rPr>
                <w:rFonts w:ascii="Times New Roman" w:hAnsi="Times New Roman" w:cs="Times New Roman"/>
                <w:sz w:val="24"/>
              </w:rPr>
            </w:pPr>
            <w:r w:rsidRPr="001053BF">
              <w:rPr>
                <w:rFonts w:ascii="Times New Roman" w:eastAsia="Times New Roman" w:hAnsi="Times New Roman" w:cs="Times New Roman"/>
                <w:sz w:val="24"/>
              </w:rPr>
              <w:t>Patient education regarding physical contributory factors, and analgesics, s</w:t>
            </w:r>
            <w:r w:rsidR="003B7EBB" w:rsidRPr="001053BF">
              <w:rPr>
                <w:rFonts w:ascii="Times New Roman" w:eastAsia="Times New Roman" w:hAnsi="Times New Roman" w:cs="Times New Roman"/>
                <w:sz w:val="24"/>
              </w:rPr>
              <w:t>elf-help advice,</w:t>
            </w:r>
            <w:r w:rsidRPr="001053BF">
              <w:rPr>
                <w:rFonts w:ascii="Times New Roman" w:eastAsia="Times New Roman" w:hAnsi="Times New Roman" w:cs="Times New Roman"/>
                <w:sz w:val="24"/>
              </w:rPr>
              <w:t xml:space="preserve"> on simple exercises and precautions are reported to aid the reduction of pain symptoms and gradual return to function. </w:t>
            </w:r>
          </w:p>
        </w:tc>
        <w:tc>
          <w:tcPr>
            <w:tcW w:w="2844" w:type="dxa"/>
            <w:tcBorders>
              <w:top w:val="single" w:sz="4" w:space="0" w:color="auto"/>
              <w:bottom w:val="single" w:sz="4" w:space="0" w:color="auto"/>
            </w:tcBorders>
          </w:tcPr>
          <w:p w:rsidR="003B7EBB" w:rsidRPr="001053BF" w:rsidRDefault="00C35BF8" w:rsidP="00C35BF8">
            <w:pPr>
              <w:pStyle w:val="ListParagraph"/>
              <w:ind w:left="176"/>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Advice to avoid precipitating movements between 0 and 120</w:t>
            </w:r>
            <w:r w:rsidRPr="001053BF">
              <w:rPr>
                <w:rFonts w:ascii="Times New Roman" w:eastAsia="Arial Unicode MS" w:hAnsi="Times New Roman" w:cs="Times New Roman"/>
                <w:szCs w:val="24"/>
                <w:vertAlign w:val="superscript"/>
                <w:lang w:eastAsia="en-GB"/>
              </w:rPr>
              <w:t>0</w:t>
            </w:r>
            <w:r w:rsidRPr="001053BF">
              <w:rPr>
                <w:rFonts w:ascii="Times New Roman" w:eastAsia="Arial Unicode MS" w:hAnsi="Times New Roman" w:cs="Times New Roman"/>
                <w:szCs w:val="24"/>
                <w:lang w:eastAsia="en-GB"/>
              </w:rPr>
              <w:t xml:space="preserve"> for rotator cuff disorders.</w:t>
            </w:r>
          </w:p>
          <w:p w:rsidR="00C35BF8" w:rsidRPr="001053BF" w:rsidRDefault="00C35BF8" w:rsidP="00C35BF8">
            <w:pPr>
              <w:pStyle w:val="ListParagraph"/>
              <w:ind w:left="176"/>
              <w:rPr>
                <w:rFonts w:ascii="Times New Roman" w:eastAsia="Arial Unicode MS" w:hAnsi="Times New Roman" w:cs="Times New Roman"/>
                <w:szCs w:val="24"/>
                <w:lang w:eastAsia="en-GB"/>
              </w:rPr>
            </w:pPr>
          </w:p>
          <w:p w:rsidR="00C35BF8" w:rsidRPr="001053BF" w:rsidRDefault="00C35BF8" w:rsidP="00C35BF8">
            <w:pPr>
              <w:pStyle w:val="ListParagraph"/>
              <w:ind w:left="176"/>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Overhead activities were considered beneficial.</w:t>
            </w:r>
          </w:p>
        </w:tc>
        <w:tc>
          <w:tcPr>
            <w:tcW w:w="1985" w:type="dxa"/>
            <w:tcBorders>
              <w:top w:val="single" w:sz="4" w:space="0" w:color="auto"/>
              <w:bottom w:val="single" w:sz="4" w:space="0" w:color="auto"/>
            </w:tcBorders>
          </w:tcPr>
          <w:p w:rsidR="003B7EBB" w:rsidRPr="001053BF" w:rsidRDefault="002077B5" w:rsidP="002077B5">
            <w:pPr>
              <w:rPr>
                <w:rFonts w:ascii="Times New Roman" w:eastAsia="Arial Unicode MS" w:hAnsi="Times New Roman" w:cs="Times New Roman"/>
                <w:b/>
                <w:sz w:val="24"/>
                <w:szCs w:val="24"/>
                <w:lang w:eastAsia="en-GB"/>
              </w:rPr>
            </w:pPr>
            <w:r w:rsidRPr="001053BF">
              <w:rPr>
                <w:rFonts w:ascii="Times New Roman" w:eastAsia="Arial Unicode MS" w:hAnsi="Times New Roman" w:cs="Times New Roman"/>
                <w:b/>
                <w:sz w:val="24"/>
                <w:szCs w:val="24"/>
                <w:lang w:eastAsia="en-GB"/>
              </w:rPr>
              <w:t>Very w</w:t>
            </w:r>
            <w:r w:rsidR="00C35BF8" w:rsidRPr="001053BF">
              <w:rPr>
                <w:rFonts w:ascii="Times New Roman" w:eastAsia="Arial Unicode MS" w:hAnsi="Times New Roman" w:cs="Times New Roman"/>
                <w:b/>
                <w:sz w:val="24"/>
                <w:szCs w:val="24"/>
                <w:lang w:eastAsia="en-GB"/>
              </w:rPr>
              <w:t>eak evidence</w:t>
            </w:r>
          </w:p>
        </w:tc>
        <w:tc>
          <w:tcPr>
            <w:tcW w:w="3118" w:type="dxa"/>
            <w:tcBorders>
              <w:top w:val="single" w:sz="4" w:space="0" w:color="auto"/>
              <w:bottom w:val="single" w:sz="4" w:space="0" w:color="auto"/>
              <w:right w:val="nil"/>
            </w:tcBorders>
          </w:tcPr>
          <w:p w:rsidR="003B7EBB" w:rsidRPr="001053BF" w:rsidRDefault="00F867C7" w:rsidP="00F867C7">
            <w:pPr>
              <w:rPr>
                <w:rFonts w:ascii="Times New Roman" w:eastAsia="Arial Unicode MS" w:hAnsi="Times New Roman" w:cs="Times New Roman"/>
                <w:b/>
                <w:sz w:val="24"/>
                <w:szCs w:val="24"/>
                <w:lang w:eastAsia="en-GB"/>
              </w:rPr>
            </w:pPr>
            <w:r w:rsidRPr="001053BF">
              <w:rPr>
                <w:rFonts w:ascii="Times New Roman" w:eastAsia="Times New Roman" w:hAnsi="Times New Roman" w:cs="Times New Roman"/>
                <w:sz w:val="24"/>
              </w:rPr>
              <w:t xml:space="preserve">Education and self-management advice are often reported as usual complementary to other interventions. There is absence of empirical evidence and </w:t>
            </w:r>
            <w:r w:rsidR="00DC6E98" w:rsidRPr="001053BF">
              <w:rPr>
                <w:rFonts w:ascii="Times New Roman" w:eastAsia="Times New Roman" w:hAnsi="Times New Roman" w:cs="Times New Roman"/>
                <w:sz w:val="24"/>
              </w:rPr>
              <w:t>recommendations for use are</w:t>
            </w:r>
            <w:r w:rsidRPr="001053BF">
              <w:rPr>
                <w:rFonts w:ascii="Times New Roman" w:eastAsia="Times New Roman" w:hAnsi="Times New Roman" w:cs="Times New Roman"/>
                <w:sz w:val="24"/>
              </w:rPr>
              <w:t xml:space="preserve"> largely based on </w:t>
            </w:r>
            <w:r w:rsidR="00C35BF8" w:rsidRPr="001053BF">
              <w:rPr>
                <w:rFonts w:ascii="Times New Roman" w:eastAsia="Times New Roman" w:hAnsi="Times New Roman" w:cs="Times New Roman"/>
                <w:sz w:val="24"/>
              </w:rPr>
              <w:t xml:space="preserve">expert </w:t>
            </w:r>
            <w:r w:rsidRPr="001053BF">
              <w:rPr>
                <w:rFonts w:ascii="Times New Roman" w:eastAsia="Times New Roman" w:hAnsi="Times New Roman" w:cs="Times New Roman"/>
                <w:sz w:val="24"/>
              </w:rPr>
              <w:t xml:space="preserve">opinions and </w:t>
            </w:r>
            <w:r w:rsidR="00C35BF8" w:rsidRPr="001053BF">
              <w:rPr>
                <w:rFonts w:ascii="Times New Roman" w:eastAsia="Times New Roman" w:hAnsi="Times New Roman" w:cs="Times New Roman"/>
                <w:sz w:val="24"/>
              </w:rPr>
              <w:t>reviews (</w:t>
            </w:r>
            <w:proofErr w:type="spellStart"/>
            <w:r w:rsidR="00C35BF8" w:rsidRPr="001053BF">
              <w:rPr>
                <w:rFonts w:ascii="Times New Roman" w:eastAsia="Times New Roman" w:hAnsi="Times New Roman" w:cs="Times New Roman"/>
                <w:sz w:val="24"/>
              </w:rPr>
              <w:t>ZGG</w:t>
            </w:r>
            <w:proofErr w:type="spellEnd"/>
            <w:r w:rsidR="00C35BF8" w:rsidRPr="001053BF">
              <w:rPr>
                <w:rFonts w:ascii="Times New Roman" w:eastAsia="Times New Roman" w:hAnsi="Times New Roman" w:cs="Times New Roman"/>
                <w:sz w:val="24"/>
              </w:rPr>
              <w:t xml:space="preserve"> 2004, </w:t>
            </w:r>
            <w:proofErr w:type="spellStart"/>
            <w:r w:rsidR="00C35BF8" w:rsidRPr="001053BF">
              <w:rPr>
                <w:rFonts w:ascii="Times New Roman" w:eastAsia="Times New Roman" w:hAnsi="Times New Roman" w:cs="Times New Roman"/>
                <w:sz w:val="24"/>
              </w:rPr>
              <w:t>Hazleman</w:t>
            </w:r>
            <w:proofErr w:type="spellEnd"/>
            <w:r w:rsidR="00C35BF8" w:rsidRPr="001053BF">
              <w:rPr>
                <w:rFonts w:ascii="Times New Roman" w:eastAsia="Times New Roman" w:hAnsi="Times New Roman" w:cs="Times New Roman"/>
                <w:sz w:val="24"/>
              </w:rPr>
              <w:t xml:space="preserve"> 2005, Mitchell 2008, Burbank et al 2008)</w:t>
            </w:r>
            <w:r w:rsidRPr="001053BF">
              <w:rPr>
                <w:rFonts w:ascii="Times New Roman" w:eastAsia="Times New Roman" w:hAnsi="Times New Roman" w:cs="Times New Roman"/>
                <w:sz w:val="24"/>
              </w:rPr>
              <w:t>.</w:t>
            </w:r>
          </w:p>
        </w:tc>
      </w:tr>
      <w:tr w:rsidR="00B70675" w:rsidRPr="001053BF" w:rsidTr="00B70675">
        <w:trPr>
          <w:trHeight w:val="2547"/>
        </w:trPr>
        <w:tc>
          <w:tcPr>
            <w:tcW w:w="1701" w:type="dxa"/>
            <w:tcBorders>
              <w:top w:val="single" w:sz="4" w:space="0" w:color="auto"/>
              <w:left w:val="nil"/>
              <w:bottom w:val="single" w:sz="4" w:space="0" w:color="auto"/>
            </w:tcBorders>
          </w:tcPr>
          <w:p w:rsidR="00B70675" w:rsidRPr="001053BF" w:rsidRDefault="00B70675" w:rsidP="003704B7">
            <w:pPr>
              <w:jc w:val="both"/>
              <w:rPr>
                <w:rFonts w:ascii="Times New Roman" w:eastAsia="Arial Unicode MS" w:hAnsi="Times New Roman" w:cs="Times New Roman"/>
                <w:b/>
                <w:sz w:val="24"/>
                <w:szCs w:val="24"/>
              </w:rPr>
            </w:pPr>
            <w:r w:rsidRPr="001053BF">
              <w:rPr>
                <w:rFonts w:ascii="Times New Roman" w:eastAsia="Arial Unicode MS" w:hAnsi="Times New Roman" w:cs="Times New Roman"/>
                <w:b/>
                <w:sz w:val="24"/>
                <w:szCs w:val="24"/>
              </w:rPr>
              <w:t>Multisite Pain</w:t>
            </w:r>
          </w:p>
        </w:tc>
        <w:tc>
          <w:tcPr>
            <w:tcW w:w="1560" w:type="dxa"/>
            <w:gridSpan w:val="2"/>
            <w:tcBorders>
              <w:top w:val="single" w:sz="4" w:space="0" w:color="auto"/>
              <w:bottom w:val="single" w:sz="4" w:space="0" w:color="auto"/>
            </w:tcBorders>
          </w:tcPr>
          <w:p w:rsidR="00B70675" w:rsidRPr="001053BF" w:rsidRDefault="00320DDD" w:rsidP="003704B7">
            <w:pPr>
              <w:pStyle w:val="ListParagraph"/>
              <w:ind w:left="193"/>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No intervention/ Usual care</w:t>
            </w:r>
          </w:p>
        </w:tc>
        <w:tc>
          <w:tcPr>
            <w:tcW w:w="3113" w:type="dxa"/>
            <w:tcBorders>
              <w:top w:val="single" w:sz="4" w:space="0" w:color="auto"/>
              <w:bottom w:val="single" w:sz="4" w:space="0" w:color="auto"/>
            </w:tcBorders>
          </w:tcPr>
          <w:p w:rsidR="00B70675" w:rsidRPr="001053BF" w:rsidRDefault="00B70675" w:rsidP="003704B7">
            <w:pPr>
              <w:pStyle w:val="ListParagraph"/>
              <w:ind w:left="193"/>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Chronic cases</w:t>
            </w:r>
          </w:p>
          <w:p w:rsidR="00B70675" w:rsidRPr="001053BF" w:rsidRDefault="00B70675" w:rsidP="003704B7">
            <w:pPr>
              <w:pStyle w:val="ListParagraph"/>
              <w:ind w:left="193"/>
              <w:rPr>
                <w:rFonts w:ascii="Times New Roman" w:eastAsia="Arial Unicode MS" w:hAnsi="Times New Roman" w:cs="Times New Roman"/>
                <w:szCs w:val="24"/>
                <w:lang w:eastAsia="en-GB"/>
              </w:rPr>
            </w:pPr>
          </w:p>
        </w:tc>
        <w:tc>
          <w:tcPr>
            <w:tcW w:w="3546" w:type="dxa"/>
            <w:tcBorders>
              <w:top w:val="single" w:sz="4" w:space="0" w:color="auto"/>
              <w:bottom w:val="single" w:sz="4" w:space="0" w:color="auto"/>
            </w:tcBorders>
          </w:tcPr>
          <w:p w:rsidR="00B70675" w:rsidRPr="001053BF" w:rsidRDefault="00B70675" w:rsidP="003704B7">
            <w:pPr>
              <w:pStyle w:val="ListParagraph"/>
              <w:ind w:left="193"/>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Quality of life related outcomes</w:t>
            </w:r>
          </w:p>
        </w:tc>
        <w:tc>
          <w:tcPr>
            <w:tcW w:w="1843" w:type="dxa"/>
            <w:tcBorders>
              <w:top w:val="single" w:sz="4" w:space="0" w:color="auto"/>
              <w:bottom w:val="single" w:sz="4" w:space="0" w:color="auto"/>
            </w:tcBorders>
          </w:tcPr>
          <w:p w:rsidR="00B70675" w:rsidRPr="001053BF" w:rsidRDefault="00B70675" w:rsidP="003704B7">
            <w:pPr>
              <w:pStyle w:val="ListParagraph"/>
              <w:ind w:left="176"/>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Long term</w:t>
            </w:r>
          </w:p>
        </w:tc>
        <w:tc>
          <w:tcPr>
            <w:tcW w:w="3679" w:type="dxa"/>
            <w:tcBorders>
              <w:top w:val="single" w:sz="4" w:space="0" w:color="auto"/>
              <w:bottom w:val="single" w:sz="4" w:space="0" w:color="auto"/>
            </w:tcBorders>
          </w:tcPr>
          <w:p w:rsidR="00B70675" w:rsidRPr="001053BF" w:rsidRDefault="00B70675" w:rsidP="003704B7">
            <w:pPr>
              <w:spacing w:after="200" w:line="276" w:lineRule="auto"/>
              <w:ind w:left="193"/>
              <w:rPr>
                <w:rFonts w:ascii="Times New Roman" w:hAnsi="Times New Roman" w:cs="Times New Roman"/>
              </w:rPr>
            </w:pPr>
            <w:r w:rsidRPr="001053BF">
              <w:rPr>
                <w:rFonts w:ascii="Times New Roman" w:eastAsia="Times New Roman" w:hAnsi="Times New Roman" w:cs="Times New Roman"/>
                <w:sz w:val="24"/>
              </w:rPr>
              <w:t xml:space="preserve"> Patient educational programmes (including online courses and leaflet, information on self-care and fitness) have been shown to enhance self-efficacy and health perception (BPS 2012, </w:t>
            </w:r>
            <w:proofErr w:type="spellStart"/>
            <w:r w:rsidRPr="001053BF">
              <w:rPr>
                <w:rFonts w:ascii="Times New Roman" w:eastAsia="Times New Roman" w:hAnsi="Times New Roman" w:cs="Times New Roman"/>
                <w:sz w:val="24"/>
              </w:rPr>
              <w:t>Mannerkorpi</w:t>
            </w:r>
            <w:proofErr w:type="spellEnd"/>
            <w:r w:rsidRPr="001053BF">
              <w:rPr>
                <w:rFonts w:ascii="Times New Roman" w:eastAsia="Times New Roman" w:hAnsi="Times New Roman" w:cs="Times New Roman"/>
                <w:sz w:val="24"/>
              </w:rPr>
              <w:t xml:space="preserve"> &amp; </w:t>
            </w:r>
            <w:proofErr w:type="spellStart"/>
            <w:r w:rsidRPr="001053BF">
              <w:rPr>
                <w:rFonts w:ascii="Times New Roman" w:eastAsia="Times New Roman" w:hAnsi="Times New Roman" w:cs="Times New Roman"/>
                <w:sz w:val="24"/>
              </w:rPr>
              <w:t>Henriksson</w:t>
            </w:r>
            <w:proofErr w:type="spellEnd"/>
            <w:r w:rsidRPr="001053BF">
              <w:rPr>
                <w:rFonts w:ascii="Times New Roman" w:eastAsia="Times New Roman" w:hAnsi="Times New Roman" w:cs="Times New Roman"/>
                <w:sz w:val="24"/>
              </w:rPr>
              <w:t>, 2007).</w:t>
            </w:r>
          </w:p>
        </w:tc>
        <w:tc>
          <w:tcPr>
            <w:tcW w:w="2844" w:type="dxa"/>
            <w:tcBorders>
              <w:top w:val="single" w:sz="4" w:space="0" w:color="auto"/>
              <w:bottom w:val="single" w:sz="4" w:space="0" w:color="auto"/>
            </w:tcBorders>
          </w:tcPr>
          <w:p w:rsidR="00B70675" w:rsidRPr="001053BF" w:rsidRDefault="00B70675" w:rsidP="003704B7">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n/a</w:t>
            </w:r>
          </w:p>
        </w:tc>
        <w:tc>
          <w:tcPr>
            <w:tcW w:w="1985" w:type="dxa"/>
            <w:tcBorders>
              <w:top w:val="single" w:sz="4" w:space="0" w:color="auto"/>
              <w:bottom w:val="single" w:sz="4" w:space="0" w:color="auto"/>
            </w:tcBorders>
          </w:tcPr>
          <w:p w:rsidR="00B70675" w:rsidRPr="001053BF" w:rsidRDefault="00B70675" w:rsidP="003704B7">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w:t>
            </w:r>
            <w:r w:rsidRPr="001053BF">
              <w:rPr>
                <w:rFonts w:ascii="Times New Roman" w:eastAsia="Arial Unicode MS" w:hAnsi="Times New Roman" w:cs="Times New Roman"/>
                <w:b/>
                <w:sz w:val="24"/>
                <w:szCs w:val="24"/>
                <w:lang w:eastAsia="en-GB"/>
              </w:rPr>
              <w:t>Limited evidence</w:t>
            </w:r>
          </w:p>
          <w:p w:rsidR="00B70675" w:rsidRPr="001053BF" w:rsidRDefault="00B70675" w:rsidP="003704B7">
            <w:pPr>
              <w:rPr>
                <w:rFonts w:ascii="Times New Roman" w:eastAsia="Arial Unicode MS" w:hAnsi="Times New Roman" w:cs="Times New Roman"/>
                <w:sz w:val="24"/>
                <w:szCs w:val="24"/>
                <w:lang w:eastAsia="en-GB"/>
              </w:rPr>
            </w:pPr>
          </w:p>
        </w:tc>
        <w:tc>
          <w:tcPr>
            <w:tcW w:w="3118" w:type="dxa"/>
            <w:tcBorders>
              <w:top w:val="single" w:sz="4" w:space="0" w:color="auto"/>
              <w:bottom w:val="single" w:sz="4" w:space="0" w:color="auto"/>
              <w:right w:val="nil"/>
            </w:tcBorders>
          </w:tcPr>
          <w:p w:rsidR="00B70675" w:rsidRPr="001053BF" w:rsidRDefault="00B70675" w:rsidP="003704B7">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Limited-Moderate efficacy for patients who we</w:t>
            </w:r>
            <w:r w:rsidR="002C7D0C" w:rsidRPr="001053BF">
              <w:rPr>
                <w:rFonts w:ascii="Times New Roman" w:eastAsia="Arial Unicode MS" w:hAnsi="Times New Roman" w:cs="Times New Roman"/>
                <w:sz w:val="24"/>
                <w:szCs w:val="24"/>
                <w:lang w:eastAsia="en-GB"/>
              </w:rPr>
              <w:t>re</w:t>
            </w:r>
            <w:r w:rsidRPr="001053BF">
              <w:rPr>
                <w:rFonts w:ascii="Times New Roman" w:eastAsia="Arial Unicode MS" w:hAnsi="Times New Roman" w:cs="Times New Roman"/>
                <w:sz w:val="24"/>
                <w:szCs w:val="24"/>
                <w:lang w:eastAsia="en-GB"/>
              </w:rPr>
              <w:t xml:space="preserve"> treated</w:t>
            </w:r>
          </w:p>
        </w:tc>
      </w:tr>
      <w:tr w:rsidR="00B70675" w:rsidRPr="001053BF" w:rsidTr="00B70675">
        <w:trPr>
          <w:trHeight w:val="6516"/>
        </w:trPr>
        <w:tc>
          <w:tcPr>
            <w:tcW w:w="1701" w:type="dxa"/>
            <w:tcBorders>
              <w:top w:val="single" w:sz="4" w:space="0" w:color="auto"/>
              <w:left w:val="nil"/>
              <w:bottom w:val="single" w:sz="4" w:space="0" w:color="auto"/>
            </w:tcBorders>
          </w:tcPr>
          <w:p w:rsidR="00B70675" w:rsidRPr="001053BF" w:rsidRDefault="00B70675" w:rsidP="00966D77">
            <w:pPr>
              <w:jc w:val="both"/>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lastRenderedPageBreak/>
              <w:t>Knee Pain</w:t>
            </w:r>
          </w:p>
          <w:p w:rsidR="00B70675" w:rsidRPr="001053BF" w:rsidRDefault="00B70675" w:rsidP="00C1488F">
            <w:pPr>
              <w:pStyle w:val="ListParagraph"/>
              <w:numPr>
                <w:ilvl w:val="0"/>
                <w:numId w:val="40"/>
              </w:numPr>
              <w:spacing w:after="120"/>
              <w:ind w:left="0" w:hanging="113"/>
              <w:contextualSpacing w:val="0"/>
              <w:rPr>
                <w:rFonts w:ascii="Times New Roman" w:eastAsia="Arial Unicode MS" w:hAnsi="Times New Roman" w:cs="Times New Roman"/>
                <w:bCs/>
                <w:i/>
                <w:szCs w:val="24"/>
              </w:rPr>
            </w:pPr>
            <w:r w:rsidRPr="001053BF">
              <w:rPr>
                <w:rFonts w:ascii="Times New Roman" w:eastAsia="Arial Unicode MS" w:hAnsi="Times New Roman" w:cs="Times New Roman"/>
                <w:bCs/>
                <w:i/>
                <w:szCs w:val="24"/>
              </w:rPr>
              <w:t>Overuse injuries / tendonitis</w:t>
            </w:r>
          </w:p>
          <w:p w:rsidR="00B70675" w:rsidRPr="001053BF" w:rsidRDefault="00B70675" w:rsidP="00C1488F">
            <w:pPr>
              <w:pStyle w:val="ListParagraph"/>
              <w:numPr>
                <w:ilvl w:val="0"/>
                <w:numId w:val="40"/>
              </w:numPr>
              <w:spacing w:after="120"/>
              <w:ind w:left="0" w:hanging="113"/>
              <w:contextualSpacing w:val="0"/>
              <w:rPr>
                <w:rFonts w:ascii="Times New Roman" w:eastAsia="Arial Unicode MS" w:hAnsi="Times New Roman" w:cs="Times New Roman"/>
                <w:bCs/>
                <w:i/>
                <w:szCs w:val="24"/>
              </w:rPr>
            </w:pPr>
            <w:r w:rsidRPr="001053BF">
              <w:rPr>
                <w:rFonts w:ascii="Times New Roman" w:eastAsia="Arial Unicode MS" w:hAnsi="Times New Roman" w:cs="Times New Roman"/>
                <w:bCs/>
                <w:i/>
                <w:szCs w:val="24"/>
              </w:rPr>
              <w:t>Patellofemoral syndrome</w:t>
            </w:r>
          </w:p>
          <w:p w:rsidR="00B70675" w:rsidRPr="001053BF" w:rsidRDefault="00B70675" w:rsidP="00C1488F">
            <w:pPr>
              <w:pStyle w:val="ListParagraph"/>
              <w:numPr>
                <w:ilvl w:val="0"/>
                <w:numId w:val="40"/>
              </w:numPr>
              <w:spacing w:after="120"/>
              <w:ind w:left="0" w:hanging="113"/>
              <w:contextualSpacing w:val="0"/>
              <w:rPr>
                <w:rFonts w:ascii="Times New Roman" w:eastAsia="Arial Unicode MS" w:hAnsi="Times New Roman" w:cs="Times New Roman"/>
                <w:bCs/>
                <w:i/>
                <w:szCs w:val="24"/>
              </w:rPr>
            </w:pPr>
            <w:r w:rsidRPr="001053BF">
              <w:rPr>
                <w:rFonts w:ascii="Times New Roman" w:eastAsia="Arial Unicode MS" w:hAnsi="Times New Roman" w:cs="Times New Roman"/>
                <w:bCs/>
                <w:i/>
                <w:szCs w:val="24"/>
              </w:rPr>
              <w:t>Meniscal tears; Ligament stress / strain &amp; Soft tissue injuries</w:t>
            </w:r>
          </w:p>
          <w:p w:rsidR="00B70675" w:rsidRPr="001053BF" w:rsidRDefault="00B70675" w:rsidP="00C1488F">
            <w:pPr>
              <w:pStyle w:val="ListParagraph"/>
              <w:numPr>
                <w:ilvl w:val="0"/>
                <w:numId w:val="40"/>
              </w:numPr>
              <w:spacing w:after="120"/>
              <w:ind w:left="0" w:hanging="113"/>
              <w:contextualSpacing w:val="0"/>
              <w:rPr>
                <w:rFonts w:ascii="Times New Roman" w:eastAsia="Arial Unicode MS" w:hAnsi="Times New Roman" w:cs="Times New Roman"/>
                <w:bCs/>
                <w:i/>
                <w:szCs w:val="24"/>
              </w:rPr>
            </w:pPr>
            <w:r w:rsidRPr="001053BF">
              <w:rPr>
                <w:rFonts w:ascii="Times New Roman" w:eastAsia="Arial Unicode MS" w:hAnsi="Times New Roman" w:cs="Times New Roman"/>
                <w:bCs/>
                <w:i/>
                <w:szCs w:val="24"/>
              </w:rPr>
              <w:t xml:space="preserve">Knee Bursitis </w:t>
            </w:r>
          </w:p>
          <w:p w:rsidR="00B70675" w:rsidRPr="001053BF" w:rsidRDefault="00B70675" w:rsidP="00C1488F">
            <w:pPr>
              <w:pStyle w:val="ListParagraph"/>
              <w:numPr>
                <w:ilvl w:val="0"/>
                <w:numId w:val="40"/>
              </w:numPr>
              <w:spacing w:after="120"/>
              <w:ind w:left="0" w:hanging="113"/>
              <w:contextualSpacing w:val="0"/>
              <w:rPr>
                <w:rFonts w:ascii="Times New Roman" w:eastAsia="Arial Unicode MS" w:hAnsi="Times New Roman" w:cs="Times New Roman"/>
                <w:bCs/>
                <w:i/>
                <w:szCs w:val="24"/>
              </w:rPr>
            </w:pPr>
            <w:r w:rsidRPr="001053BF">
              <w:rPr>
                <w:rFonts w:ascii="Times New Roman" w:eastAsia="Arial Unicode MS" w:hAnsi="Times New Roman" w:cs="Times New Roman"/>
                <w:bCs/>
                <w:i/>
                <w:szCs w:val="24"/>
              </w:rPr>
              <w:t>Degenerative knee pain / Osteoarthritis</w:t>
            </w:r>
          </w:p>
          <w:p w:rsidR="00B70675" w:rsidRPr="001053BF" w:rsidRDefault="00B70675" w:rsidP="00C1488F">
            <w:pPr>
              <w:spacing w:after="120"/>
              <w:ind w:hanging="113"/>
              <w:jc w:val="both"/>
              <w:rPr>
                <w:rFonts w:ascii="Times New Roman" w:eastAsia="Arial Unicode MS" w:hAnsi="Times New Roman" w:cs="Times New Roman"/>
                <w:b/>
                <w:bCs/>
                <w:sz w:val="24"/>
                <w:szCs w:val="24"/>
              </w:rPr>
            </w:pPr>
          </w:p>
          <w:p w:rsidR="00B70675" w:rsidRPr="001053BF" w:rsidRDefault="00B70675" w:rsidP="00966D77">
            <w:pPr>
              <w:jc w:val="both"/>
              <w:rPr>
                <w:rFonts w:ascii="Times New Roman" w:eastAsia="Arial Unicode MS" w:hAnsi="Times New Roman" w:cs="Times New Roman"/>
                <w:b/>
                <w:bCs/>
                <w:sz w:val="24"/>
                <w:szCs w:val="24"/>
              </w:rPr>
            </w:pPr>
          </w:p>
        </w:tc>
        <w:tc>
          <w:tcPr>
            <w:tcW w:w="1560" w:type="dxa"/>
            <w:gridSpan w:val="2"/>
            <w:tcBorders>
              <w:top w:val="single" w:sz="4" w:space="0" w:color="auto"/>
              <w:bottom w:val="single" w:sz="4" w:space="0" w:color="auto"/>
            </w:tcBorders>
          </w:tcPr>
          <w:p w:rsidR="00B70675" w:rsidRPr="001053BF" w:rsidRDefault="00B70675" w:rsidP="00364092">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Attention controls (Kroon et al 2014).</w:t>
            </w:r>
          </w:p>
        </w:tc>
        <w:tc>
          <w:tcPr>
            <w:tcW w:w="3113" w:type="dxa"/>
            <w:tcBorders>
              <w:top w:val="single" w:sz="4" w:space="0" w:color="auto"/>
              <w:bottom w:val="single" w:sz="4" w:space="0" w:color="auto"/>
            </w:tcBorders>
          </w:tcPr>
          <w:p w:rsidR="00B70675" w:rsidRPr="001053BF" w:rsidRDefault="00B70675" w:rsidP="00B70675">
            <w:pPr>
              <w:rPr>
                <w:rFonts w:ascii="Times New Roman" w:eastAsia="Arial Unicode MS" w:hAnsi="Times New Roman" w:cs="Times New Roman"/>
                <w:szCs w:val="24"/>
                <w:lang w:eastAsia="en-GB"/>
              </w:rPr>
            </w:pPr>
            <w:proofErr w:type="spellStart"/>
            <w:r w:rsidRPr="001053BF">
              <w:rPr>
                <w:rFonts w:ascii="Times New Roman" w:eastAsia="Arial Unicode MS" w:hAnsi="Times New Roman" w:cs="Times New Roman"/>
                <w:szCs w:val="24"/>
                <w:lang w:eastAsia="en-GB"/>
              </w:rPr>
              <w:t>Generalisable</w:t>
            </w:r>
            <w:proofErr w:type="spellEnd"/>
            <w:r w:rsidRPr="001053BF">
              <w:rPr>
                <w:rFonts w:ascii="Times New Roman" w:eastAsia="Arial Unicode MS" w:hAnsi="Times New Roman" w:cs="Times New Roman"/>
                <w:szCs w:val="24"/>
                <w:lang w:eastAsia="en-GB"/>
              </w:rPr>
              <w:t xml:space="preserve"> across age ranges (</w:t>
            </w:r>
            <w:r w:rsidRPr="001053BF">
              <w:rPr>
                <w:rFonts w:ascii="Times New Roman" w:eastAsia="Arial Unicode MS" w:hAnsi="Times New Roman" w:cs="Times New Roman"/>
                <w:szCs w:val="24"/>
                <w:lang w:eastAsia="en-GB"/>
              </w:rPr>
              <w:sym w:font="Symbol" w:char="F0B3"/>
            </w:r>
            <w:r w:rsidRPr="001053BF">
              <w:rPr>
                <w:rFonts w:ascii="Times New Roman" w:eastAsia="Arial Unicode MS" w:hAnsi="Times New Roman" w:cs="Times New Roman"/>
                <w:szCs w:val="24"/>
                <w:lang w:eastAsia="en-GB"/>
              </w:rPr>
              <w:t>18 years) and varying pain severities.</w:t>
            </w:r>
          </w:p>
        </w:tc>
        <w:tc>
          <w:tcPr>
            <w:tcW w:w="3546" w:type="dxa"/>
            <w:tcBorders>
              <w:top w:val="single" w:sz="4" w:space="0" w:color="auto"/>
              <w:bottom w:val="single" w:sz="4" w:space="0" w:color="auto"/>
            </w:tcBorders>
          </w:tcPr>
          <w:p w:rsidR="00B70675" w:rsidRPr="001053BF" w:rsidRDefault="00B70675" w:rsidP="00957C29">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Functional disability</w:t>
            </w:r>
          </w:p>
        </w:tc>
        <w:tc>
          <w:tcPr>
            <w:tcW w:w="1843" w:type="dxa"/>
            <w:tcBorders>
              <w:top w:val="single" w:sz="4" w:space="0" w:color="auto"/>
              <w:bottom w:val="single" w:sz="4" w:space="0" w:color="auto"/>
            </w:tcBorders>
          </w:tcPr>
          <w:p w:rsidR="00B70675" w:rsidRPr="001053BF" w:rsidRDefault="00B70675" w:rsidP="00B70675">
            <w:pPr>
              <w:ind w:left="176"/>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Short term.</w:t>
            </w:r>
          </w:p>
        </w:tc>
        <w:tc>
          <w:tcPr>
            <w:tcW w:w="3679" w:type="dxa"/>
            <w:tcBorders>
              <w:top w:val="single" w:sz="4" w:space="0" w:color="auto"/>
              <w:bottom w:val="single" w:sz="4" w:space="0" w:color="auto"/>
            </w:tcBorders>
          </w:tcPr>
          <w:p w:rsidR="00B70675" w:rsidRPr="001053BF" w:rsidRDefault="00B70675" w:rsidP="005A4E5F">
            <w:pPr>
              <w:rPr>
                <w:rFonts w:ascii="Times New Roman" w:hAnsi="Times New Roman" w:cs="Times New Roman"/>
              </w:rPr>
            </w:pPr>
            <w:r w:rsidRPr="001053BF">
              <w:rPr>
                <w:rFonts w:ascii="Times New Roman" w:eastAsia="Times New Roman" w:hAnsi="Times New Roman" w:cs="Times New Roman"/>
                <w:sz w:val="24"/>
              </w:rPr>
              <w:t>Education and patient advice suggested for supportive self-management offers marginal benefit for improvement in function (MoM 201</w:t>
            </w:r>
            <w:r w:rsidR="005A4E5F" w:rsidRPr="001053BF">
              <w:rPr>
                <w:rFonts w:ascii="Times New Roman" w:eastAsia="Times New Roman" w:hAnsi="Times New Roman" w:cs="Times New Roman"/>
                <w:sz w:val="24"/>
              </w:rPr>
              <w:t>4</w:t>
            </w:r>
            <w:r w:rsidRPr="001053BF">
              <w:rPr>
                <w:rFonts w:ascii="Times New Roman" w:eastAsia="Times New Roman" w:hAnsi="Times New Roman" w:cs="Times New Roman"/>
                <w:sz w:val="24"/>
              </w:rPr>
              <w:t>).</w:t>
            </w:r>
          </w:p>
        </w:tc>
        <w:tc>
          <w:tcPr>
            <w:tcW w:w="2844" w:type="dxa"/>
            <w:tcBorders>
              <w:top w:val="single" w:sz="4" w:space="0" w:color="auto"/>
              <w:bottom w:val="single" w:sz="4" w:space="0" w:color="auto"/>
            </w:tcBorders>
          </w:tcPr>
          <w:p w:rsidR="00B70675" w:rsidRPr="001053BF" w:rsidRDefault="00B70675" w:rsidP="00DC6E98">
            <w:pPr>
              <w:pStyle w:val="ListParagraph"/>
              <w:numPr>
                <w:ilvl w:val="0"/>
                <w:numId w:val="40"/>
              </w:numPr>
              <w:spacing w:after="120"/>
              <w:ind w:left="-56" w:hanging="57"/>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RICE protocol (Rest, Ice, Compression and Elevation) is a core treatment offered along with self-management education and is found to be effective for the management of acute knee disorders accompanied by swelling, as well as Grade I/II MCL tears (NZGG, 200</w:t>
            </w:r>
            <w:r w:rsidR="005A4E5F" w:rsidRPr="001053BF">
              <w:rPr>
                <w:rFonts w:ascii="Times New Roman" w:eastAsia="Arial Unicode MS" w:hAnsi="Times New Roman" w:cs="Times New Roman"/>
                <w:szCs w:val="24"/>
                <w:lang w:eastAsia="en-GB"/>
              </w:rPr>
              <w:t>4</w:t>
            </w:r>
            <w:r w:rsidRPr="001053BF">
              <w:rPr>
                <w:rFonts w:ascii="Times New Roman" w:eastAsia="Arial Unicode MS" w:hAnsi="Times New Roman" w:cs="Times New Roman"/>
                <w:szCs w:val="24"/>
                <w:lang w:eastAsia="en-GB"/>
              </w:rPr>
              <w:t>; MoM 201</w:t>
            </w:r>
            <w:r w:rsidR="005A4E5F" w:rsidRPr="001053BF">
              <w:rPr>
                <w:rFonts w:ascii="Times New Roman" w:eastAsia="Arial Unicode MS" w:hAnsi="Times New Roman" w:cs="Times New Roman"/>
                <w:szCs w:val="24"/>
                <w:lang w:eastAsia="en-GB"/>
              </w:rPr>
              <w:t>4</w:t>
            </w:r>
            <w:r w:rsidRPr="001053BF">
              <w:rPr>
                <w:rFonts w:ascii="Times New Roman" w:eastAsia="Arial Unicode MS" w:hAnsi="Times New Roman" w:cs="Times New Roman"/>
                <w:szCs w:val="24"/>
                <w:lang w:eastAsia="en-GB"/>
              </w:rPr>
              <w:t>).</w:t>
            </w:r>
          </w:p>
          <w:p w:rsidR="00B70675" w:rsidRPr="001053BF" w:rsidRDefault="00B70675" w:rsidP="00DC6E98">
            <w:pPr>
              <w:pStyle w:val="ListParagraph"/>
              <w:spacing w:after="120"/>
              <w:ind w:left="-56"/>
              <w:rPr>
                <w:rFonts w:ascii="Times New Roman" w:eastAsia="Arial Unicode MS" w:hAnsi="Times New Roman" w:cs="Times New Roman"/>
                <w:szCs w:val="24"/>
                <w:lang w:eastAsia="en-GB"/>
              </w:rPr>
            </w:pPr>
          </w:p>
          <w:p w:rsidR="00B70675" w:rsidRPr="001053BF" w:rsidRDefault="00B70675" w:rsidP="00DC6E98">
            <w:pPr>
              <w:pStyle w:val="ListParagraph"/>
              <w:numPr>
                <w:ilvl w:val="0"/>
                <w:numId w:val="40"/>
              </w:numPr>
              <w:ind w:left="-56" w:hanging="57"/>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Weight management education and advice (for overweight or obese patients) have been suggested to aid effective management of degenerative OA (AAOS 2008; NICE 2014; Zhang et al</w:t>
            </w:r>
            <w:r w:rsidR="005A4E5F" w:rsidRPr="001053BF">
              <w:rPr>
                <w:rFonts w:ascii="Times New Roman" w:eastAsia="Arial Unicode MS" w:hAnsi="Times New Roman" w:cs="Times New Roman"/>
                <w:szCs w:val="24"/>
                <w:lang w:eastAsia="en-GB"/>
              </w:rPr>
              <w:t>.</w:t>
            </w:r>
            <w:r w:rsidRPr="001053BF">
              <w:rPr>
                <w:rFonts w:ascii="Times New Roman" w:eastAsia="Arial Unicode MS" w:hAnsi="Times New Roman" w:cs="Times New Roman"/>
                <w:szCs w:val="24"/>
                <w:lang w:eastAsia="en-GB"/>
              </w:rPr>
              <w:t xml:space="preserve"> 2010).</w:t>
            </w:r>
          </w:p>
        </w:tc>
        <w:tc>
          <w:tcPr>
            <w:tcW w:w="1985" w:type="dxa"/>
            <w:tcBorders>
              <w:top w:val="single" w:sz="4" w:space="0" w:color="auto"/>
              <w:bottom w:val="single" w:sz="4" w:space="0" w:color="auto"/>
            </w:tcBorders>
          </w:tcPr>
          <w:p w:rsidR="00B70675" w:rsidRPr="001053BF" w:rsidRDefault="009F596B" w:rsidP="00E92706">
            <w:pPr>
              <w:pStyle w:val="ListParagraph"/>
              <w:ind w:left="175"/>
              <w:rPr>
                <w:rFonts w:ascii="Times New Roman" w:eastAsia="Arial Unicode MS" w:hAnsi="Times New Roman" w:cs="Times New Roman"/>
                <w:b/>
                <w:szCs w:val="24"/>
                <w:lang w:eastAsia="en-GB"/>
              </w:rPr>
            </w:pPr>
            <w:r w:rsidRPr="001053BF">
              <w:rPr>
                <w:rFonts w:ascii="Times New Roman" w:eastAsia="Arial Unicode MS" w:hAnsi="Times New Roman" w:cs="Times New Roman"/>
                <w:szCs w:val="24"/>
                <w:lang w:eastAsia="en-GB"/>
              </w:rPr>
              <w:t>*</w:t>
            </w:r>
            <w:r w:rsidRPr="001053BF">
              <w:rPr>
                <w:rFonts w:ascii="Times New Roman" w:eastAsia="Arial Unicode MS" w:hAnsi="Times New Roman" w:cs="Times New Roman"/>
                <w:b/>
                <w:szCs w:val="24"/>
                <w:lang w:eastAsia="en-GB"/>
              </w:rPr>
              <w:t xml:space="preserve"> </w:t>
            </w:r>
            <w:r w:rsidR="002077B5" w:rsidRPr="001053BF">
              <w:rPr>
                <w:rFonts w:ascii="Times New Roman" w:eastAsia="Arial Unicode MS" w:hAnsi="Times New Roman" w:cs="Times New Roman"/>
                <w:b/>
                <w:szCs w:val="24"/>
                <w:lang w:eastAsia="en-GB"/>
              </w:rPr>
              <w:t xml:space="preserve">Very weak evidence </w:t>
            </w:r>
          </w:p>
          <w:p w:rsidR="002077B5" w:rsidRPr="001053BF" w:rsidRDefault="002077B5" w:rsidP="00E92706">
            <w:pPr>
              <w:pStyle w:val="ListParagraph"/>
              <w:ind w:left="175"/>
              <w:rPr>
                <w:rFonts w:ascii="Times New Roman" w:eastAsia="Arial Unicode MS" w:hAnsi="Times New Roman" w:cs="Times New Roman"/>
                <w:szCs w:val="24"/>
                <w:lang w:eastAsia="en-GB"/>
              </w:rPr>
            </w:pPr>
          </w:p>
          <w:p w:rsidR="002077B5" w:rsidRPr="001053BF" w:rsidRDefault="002077B5" w:rsidP="00E92706">
            <w:pPr>
              <w:pStyle w:val="ListParagraph"/>
              <w:ind w:left="175"/>
              <w:rPr>
                <w:rFonts w:ascii="Times New Roman" w:eastAsia="Arial Unicode MS" w:hAnsi="Times New Roman" w:cs="Times New Roman"/>
                <w:szCs w:val="24"/>
                <w:lang w:eastAsia="en-GB"/>
              </w:rPr>
            </w:pPr>
          </w:p>
          <w:p w:rsidR="002077B5" w:rsidRPr="001053BF" w:rsidRDefault="002077B5" w:rsidP="00E92706">
            <w:pPr>
              <w:pStyle w:val="ListParagraph"/>
              <w:ind w:left="175"/>
              <w:rPr>
                <w:rFonts w:ascii="Times New Roman" w:eastAsia="Arial Unicode MS" w:hAnsi="Times New Roman" w:cs="Times New Roman"/>
                <w:szCs w:val="24"/>
                <w:lang w:eastAsia="en-GB"/>
              </w:rPr>
            </w:pPr>
          </w:p>
          <w:p w:rsidR="002077B5" w:rsidRPr="001053BF" w:rsidRDefault="002077B5" w:rsidP="00E92706">
            <w:pPr>
              <w:pStyle w:val="ListParagraph"/>
              <w:ind w:left="175"/>
              <w:rPr>
                <w:rFonts w:ascii="Times New Roman" w:eastAsia="Arial Unicode MS" w:hAnsi="Times New Roman" w:cs="Times New Roman"/>
                <w:szCs w:val="24"/>
                <w:lang w:eastAsia="en-GB"/>
              </w:rPr>
            </w:pPr>
          </w:p>
          <w:p w:rsidR="00B70675" w:rsidRPr="001053BF" w:rsidRDefault="00B70675" w:rsidP="002077B5">
            <w:pPr>
              <w:pStyle w:val="ListParagraph"/>
              <w:ind w:left="175"/>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 Moderate evidence</w:t>
            </w:r>
            <w:r w:rsidR="002077B5" w:rsidRPr="001053BF">
              <w:rPr>
                <w:rFonts w:ascii="Times New Roman" w:eastAsia="Arial Unicode MS" w:hAnsi="Times New Roman" w:cs="Times New Roman"/>
                <w:szCs w:val="24"/>
                <w:lang w:eastAsia="en-GB"/>
              </w:rPr>
              <w:t xml:space="preserve"> for the</w:t>
            </w:r>
            <w:r w:rsidRPr="001053BF">
              <w:rPr>
                <w:rFonts w:ascii="Times New Roman" w:eastAsia="Arial Unicode MS" w:hAnsi="Times New Roman" w:cs="Times New Roman"/>
                <w:szCs w:val="24"/>
                <w:lang w:eastAsia="en-GB"/>
              </w:rPr>
              <w:t xml:space="preserve"> effectiveness of RICE protocol and / or weight management (where applicable) in conjunction with education.</w:t>
            </w:r>
          </w:p>
        </w:tc>
        <w:tc>
          <w:tcPr>
            <w:tcW w:w="3118" w:type="dxa"/>
            <w:tcBorders>
              <w:top w:val="single" w:sz="4" w:space="0" w:color="auto"/>
              <w:bottom w:val="single" w:sz="4" w:space="0" w:color="auto"/>
              <w:right w:val="nil"/>
            </w:tcBorders>
          </w:tcPr>
          <w:p w:rsidR="00B70675" w:rsidRPr="001053BF" w:rsidRDefault="00B70675" w:rsidP="009229B4">
            <w:pPr>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The effectiveness of education and self-management advice appears to be highly dependent on compliance to guidance which may not always be guaranteed due to the non-facility based nature of this treatment option.</w:t>
            </w:r>
          </w:p>
          <w:p w:rsidR="002077B5" w:rsidRPr="001053BF" w:rsidRDefault="002077B5" w:rsidP="009229B4">
            <w:pPr>
              <w:rPr>
                <w:rFonts w:ascii="Times New Roman" w:eastAsia="Arial Unicode MS" w:hAnsi="Times New Roman" w:cs="Times New Roman"/>
                <w:szCs w:val="24"/>
                <w:lang w:eastAsia="en-GB"/>
              </w:rPr>
            </w:pPr>
          </w:p>
          <w:p w:rsidR="002077B5" w:rsidRPr="001053BF" w:rsidRDefault="002077B5" w:rsidP="002077B5">
            <w:pPr>
              <w:rPr>
                <w:rFonts w:ascii="Times New Roman" w:eastAsia="Arial Unicode MS" w:hAnsi="Times New Roman" w:cs="Times New Roman"/>
                <w:b/>
                <w:sz w:val="24"/>
                <w:szCs w:val="24"/>
                <w:lang w:eastAsia="en-GB"/>
              </w:rPr>
            </w:pPr>
            <w:r w:rsidRPr="001053BF">
              <w:rPr>
                <w:rFonts w:ascii="Times New Roman" w:eastAsia="Arial Unicode MS" w:hAnsi="Times New Roman" w:cs="Times New Roman"/>
                <w:sz w:val="24"/>
                <w:szCs w:val="24"/>
                <w:lang w:eastAsia="en-GB"/>
              </w:rPr>
              <w:t>Evidence based mostly on e</w:t>
            </w:r>
            <w:r w:rsidRPr="001053BF">
              <w:rPr>
                <w:rFonts w:ascii="Times New Roman" w:eastAsia="Arial Unicode MS" w:hAnsi="Times New Roman" w:cs="Times New Roman"/>
                <w:bCs/>
                <w:sz w:val="24"/>
                <w:szCs w:val="24"/>
                <w:lang w:eastAsia="en-GB"/>
              </w:rPr>
              <w:t xml:space="preserve">xpert opinions or consensus in guidelines) </w:t>
            </w:r>
            <w:r w:rsidRPr="001053BF">
              <w:rPr>
                <w:rFonts w:ascii="Times New Roman" w:eastAsia="Arial Unicode MS" w:hAnsi="Times New Roman" w:cs="Times New Roman"/>
                <w:sz w:val="24"/>
                <w:szCs w:val="24"/>
                <w:lang w:eastAsia="en-GB"/>
              </w:rPr>
              <w:t>for moderate efficacy</w:t>
            </w:r>
            <w:r w:rsidRPr="001053BF">
              <w:rPr>
                <w:rFonts w:ascii="Times New Roman" w:eastAsia="Arial Unicode MS" w:hAnsi="Times New Roman" w:cs="Times New Roman"/>
                <w:b/>
                <w:sz w:val="24"/>
                <w:szCs w:val="24"/>
                <w:lang w:eastAsia="en-GB"/>
              </w:rPr>
              <w:t>.</w:t>
            </w:r>
          </w:p>
          <w:p w:rsidR="002077B5" w:rsidRPr="001053BF" w:rsidRDefault="002077B5" w:rsidP="009229B4">
            <w:pPr>
              <w:rPr>
                <w:rFonts w:ascii="Times New Roman" w:eastAsia="Arial Unicode MS" w:hAnsi="Times New Roman" w:cs="Times New Roman"/>
                <w:b/>
                <w:sz w:val="24"/>
                <w:szCs w:val="24"/>
                <w:lang w:eastAsia="en-GB"/>
              </w:rPr>
            </w:pPr>
          </w:p>
        </w:tc>
      </w:tr>
      <w:tr w:rsidR="00B70675" w:rsidRPr="001053BF" w:rsidTr="00B70675">
        <w:trPr>
          <w:trHeight w:val="5923"/>
        </w:trPr>
        <w:tc>
          <w:tcPr>
            <w:tcW w:w="1701" w:type="dxa"/>
            <w:tcBorders>
              <w:top w:val="single" w:sz="4" w:space="0" w:color="auto"/>
              <w:left w:val="nil"/>
              <w:bottom w:val="single" w:sz="18" w:space="0" w:color="auto"/>
            </w:tcBorders>
          </w:tcPr>
          <w:p w:rsidR="00B70675" w:rsidRPr="001053BF" w:rsidRDefault="00B70675" w:rsidP="003E3813">
            <w:pPr>
              <w:jc w:val="both"/>
              <w:rPr>
                <w:rFonts w:ascii="Times New Roman" w:eastAsia="Arial Unicode MS" w:hAnsi="Times New Roman" w:cs="Times New Roman"/>
                <w:b/>
                <w:bCs/>
                <w:sz w:val="24"/>
                <w:szCs w:val="24"/>
              </w:rPr>
            </w:pPr>
            <w:r w:rsidRPr="001053BF">
              <w:rPr>
                <w:rFonts w:ascii="Times New Roman" w:eastAsia="Arial Unicode MS" w:hAnsi="Times New Roman" w:cs="Times New Roman"/>
                <w:b/>
                <w:bCs/>
                <w:sz w:val="24"/>
                <w:szCs w:val="24"/>
              </w:rPr>
              <w:t>Back pain</w:t>
            </w:r>
          </w:p>
        </w:tc>
        <w:tc>
          <w:tcPr>
            <w:tcW w:w="1560" w:type="dxa"/>
            <w:gridSpan w:val="2"/>
            <w:tcBorders>
              <w:top w:val="single" w:sz="4" w:space="0" w:color="auto"/>
              <w:bottom w:val="single" w:sz="18" w:space="0" w:color="auto"/>
            </w:tcBorders>
          </w:tcPr>
          <w:p w:rsidR="00B70675" w:rsidRPr="001053BF" w:rsidRDefault="00B70675" w:rsidP="00364092">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Usual care</w:t>
            </w:r>
          </w:p>
        </w:tc>
        <w:tc>
          <w:tcPr>
            <w:tcW w:w="3113" w:type="dxa"/>
            <w:tcBorders>
              <w:top w:val="single" w:sz="4" w:space="0" w:color="auto"/>
              <w:bottom w:val="single" w:sz="18" w:space="0" w:color="auto"/>
            </w:tcBorders>
          </w:tcPr>
          <w:p w:rsidR="00B70675" w:rsidRPr="001053BF" w:rsidRDefault="00B70675" w:rsidP="00E86354">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Acute and chronic LBP presentations.</w:t>
            </w:r>
          </w:p>
          <w:p w:rsidR="00B70675" w:rsidRPr="001053BF" w:rsidRDefault="00B70675" w:rsidP="00E86354">
            <w:pPr>
              <w:rPr>
                <w:rFonts w:ascii="Times New Roman" w:eastAsia="Arial Unicode MS" w:hAnsi="Times New Roman" w:cs="Times New Roman"/>
                <w:sz w:val="24"/>
                <w:szCs w:val="24"/>
                <w:lang w:eastAsia="en-GB"/>
              </w:rPr>
            </w:pPr>
          </w:p>
          <w:p w:rsidR="00B70675" w:rsidRPr="001053BF" w:rsidRDefault="00B70675" w:rsidP="005A4E5F">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The effect of educational booklets as a stand-alone intervention on pain, disability or psychological distress is not significantly different for acute and chronic low back pain presentations</w:t>
            </w:r>
            <w:r w:rsidR="005A4E5F" w:rsidRPr="001053BF">
              <w:rPr>
                <w:rFonts w:ascii="Times New Roman" w:eastAsia="Arial Unicode MS" w:hAnsi="Times New Roman" w:cs="Times New Roman"/>
                <w:sz w:val="24"/>
                <w:szCs w:val="24"/>
                <w:lang w:eastAsia="en-GB"/>
              </w:rPr>
              <w:t xml:space="preserve"> (Burton et al, 1999; Lidd</w:t>
            </w:r>
            <w:r w:rsidRPr="001053BF">
              <w:rPr>
                <w:rFonts w:ascii="Times New Roman" w:eastAsia="Arial Unicode MS" w:hAnsi="Times New Roman" w:cs="Times New Roman"/>
                <w:sz w:val="24"/>
                <w:szCs w:val="24"/>
                <w:lang w:eastAsia="en-GB"/>
              </w:rPr>
              <w:t>le et al, 200</w:t>
            </w:r>
            <w:r w:rsidR="005A4E5F" w:rsidRPr="001053BF">
              <w:rPr>
                <w:rFonts w:ascii="Times New Roman" w:eastAsia="Arial Unicode MS" w:hAnsi="Times New Roman" w:cs="Times New Roman"/>
                <w:sz w:val="24"/>
                <w:szCs w:val="24"/>
                <w:lang w:eastAsia="en-GB"/>
              </w:rPr>
              <w:t>7</w:t>
            </w:r>
            <w:r w:rsidRPr="001053BF">
              <w:rPr>
                <w:rFonts w:ascii="Times New Roman" w:eastAsia="Arial Unicode MS" w:hAnsi="Times New Roman" w:cs="Times New Roman"/>
                <w:sz w:val="24"/>
                <w:szCs w:val="24"/>
                <w:lang w:eastAsia="en-GB"/>
              </w:rPr>
              <w:t>; Roberts et al, 2002)</w:t>
            </w:r>
          </w:p>
        </w:tc>
        <w:tc>
          <w:tcPr>
            <w:tcW w:w="3546" w:type="dxa"/>
            <w:tcBorders>
              <w:top w:val="single" w:sz="4" w:space="0" w:color="auto"/>
              <w:bottom w:val="single" w:sz="18" w:space="0" w:color="auto"/>
            </w:tcBorders>
          </w:tcPr>
          <w:p w:rsidR="00B70675" w:rsidRPr="001053BF" w:rsidRDefault="00B70675" w:rsidP="002C4426">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Reduction in pain and disability  Improvement in function</w:t>
            </w:r>
          </w:p>
          <w:p w:rsidR="00B70675" w:rsidRPr="001053BF" w:rsidRDefault="00B70675" w:rsidP="002C4426">
            <w:pPr>
              <w:rPr>
                <w:rFonts w:ascii="Times New Roman" w:eastAsia="Arial Unicode MS" w:hAnsi="Times New Roman" w:cs="Times New Roman"/>
                <w:sz w:val="24"/>
                <w:szCs w:val="24"/>
                <w:lang w:eastAsia="en-GB"/>
              </w:rPr>
            </w:pPr>
            <w:r w:rsidRPr="001053BF">
              <w:rPr>
                <w:rFonts w:ascii="Times New Roman" w:eastAsia="Arial Unicode MS" w:hAnsi="Times New Roman" w:cs="Times New Roman"/>
                <w:sz w:val="24"/>
                <w:szCs w:val="24"/>
                <w:lang w:eastAsia="en-GB"/>
              </w:rPr>
              <w:t>Quality of life / work related outcomes</w:t>
            </w:r>
          </w:p>
        </w:tc>
        <w:tc>
          <w:tcPr>
            <w:tcW w:w="1843" w:type="dxa"/>
            <w:tcBorders>
              <w:top w:val="single" w:sz="4" w:space="0" w:color="auto"/>
              <w:bottom w:val="single" w:sz="18" w:space="0" w:color="auto"/>
            </w:tcBorders>
          </w:tcPr>
          <w:p w:rsidR="00B70675" w:rsidRPr="001053BF" w:rsidRDefault="00B70675" w:rsidP="00E86354">
            <w:pPr>
              <w:pStyle w:val="ListParagraph"/>
              <w:ind w:left="459"/>
              <w:jc w:val="both"/>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Long  and short term</w:t>
            </w:r>
            <w:bookmarkStart w:id="0" w:name="_GoBack"/>
            <w:bookmarkEnd w:id="0"/>
          </w:p>
        </w:tc>
        <w:tc>
          <w:tcPr>
            <w:tcW w:w="3679" w:type="dxa"/>
            <w:tcBorders>
              <w:top w:val="single" w:sz="4" w:space="0" w:color="auto"/>
              <w:bottom w:val="single" w:sz="18" w:space="0" w:color="auto"/>
            </w:tcBorders>
          </w:tcPr>
          <w:p w:rsidR="00B70675" w:rsidRPr="001053BF" w:rsidRDefault="00B70675" w:rsidP="00EA5E3D">
            <w:pPr>
              <w:rPr>
                <w:rFonts w:ascii="Times New Roman" w:eastAsia="Times New Roman" w:hAnsi="Times New Roman" w:cs="Times New Roman"/>
                <w:sz w:val="24"/>
              </w:rPr>
            </w:pPr>
            <w:r w:rsidRPr="001053BF">
              <w:rPr>
                <w:rFonts w:ascii="Times New Roman" w:eastAsia="Times New Roman" w:hAnsi="Times New Roman" w:cs="Times New Roman"/>
                <w:sz w:val="24"/>
              </w:rPr>
              <w:t> Self-management education and advice is recommended as 1st line-management of acute, non-recurrent back pain for small but clinically important effects on pain and disability in people with LBP.</w:t>
            </w:r>
          </w:p>
          <w:p w:rsidR="00B70675" w:rsidRPr="001053BF" w:rsidRDefault="00B70675" w:rsidP="00EA5E3D">
            <w:pPr>
              <w:rPr>
                <w:rFonts w:ascii="Times New Roman" w:eastAsia="Times New Roman" w:hAnsi="Times New Roman" w:cs="Times New Roman"/>
                <w:sz w:val="24"/>
              </w:rPr>
            </w:pPr>
            <w:r w:rsidRPr="001053BF">
              <w:rPr>
                <w:rFonts w:ascii="Times New Roman" w:eastAsia="Times New Roman" w:hAnsi="Times New Roman" w:cs="Times New Roman"/>
                <w:sz w:val="24"/>
              </w:rPr>
              <w:t xml:space="preserve"> </w:t>
            </w:r>
          </w:p>
          <w:p w:rsidR="00B70675" w:rsidRPr="001053BF" w:rsidRDefault="00B70675" w:rsidP="00EA5E3D">
            <w:pPr>
              <w:rPr>
                <w:rFonts w:ascii="Times New Roman" w:eastAsia="Times New Roman" w:hAnsi="Times New Roman" w:cs="Times New Roman"/>
                <w:sz w:val="24"/>
              </w:rPr>
            </w:pPr>
            <w:r w:rsidRPr="001053BF">
              <w:rPr>
                <w:rFonts w:ascii="Times New Roman" w:eastAsia="Times New Roman" w:hAnsi="Times New Roman" w:cs="Times New Roman"/>
                <w:sz w:val="24"/>
              </w:rPr>
              <w:t xml:space="preserve">WMD at short-term follow-up for pain = -3.2 points on a 0-100 scale (95% CI -5.1, -1.3) and for disability = -2.3 points (95% CI -3.7, -1.0). The long-term effects were -4.8 (95% CI -7.1, -2.5) for pain and -2.1 (95% CI -3.6, -0.6) for disability (Oliveira et al. 2012). </w:t>
            </w:r>
          </w:p>
          <w:p w:rsidR="00B70675" w:rsidRPr="001053BF" w:rsidRDefault="00B70675" w:rsidP="00FE7081">
            <w:pPr>
              <w:rPr>
                <w:rFonts w:ascii="Times New Roman" w:hAnsi="Times New Roman" w:cs="Times New Roman"/>
              </w:rPr>
            </w:pPr>
          </w:p>
          <w:p w:rsidR="00B70675" w:rsidRPr="001053BF" w:rsidRDefault="00B70675" w:rsidP="00FE7081">
            <w:pPr>
              <w:rPr>
                <w:rFonts w:ascii="Times New Roman" w:hAnsi="Times New Roman" w:cs="Times New Roman"/>
              </w:rPr>
            </w:pPr>
          </w:p>
        </w:tc>
        <w:tc>
          <w:tcPr>
            <w:tcW w:w="2844" w:type="dxa"/>
            <w:tcBorders>
              <w:top w:val="single" w:sz="4" w:space="0" w:color="auto"/>
              <w:bottom w:val="single" w:sz="18" w:space="0" w:color="auto"/>
            </w:tcBorders>
          </w:tcPr>
          <w:p w:rsidR="00B70675" w:rsidRPr="001053BF" w:rsidRDefault="00B70675" w:rsidP="00E86354">
            <w:pPr>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Group educational programmes appeared to be more effective for improving function and return to work than individual programmes for acute back pains but additional interventions may be required for more chronic conditions (</w:t>
            </w:r>
            <w:proofErr w:type="spellStart"/>
            <w:r w:rsidRPr="001053BF">
              <w:rPr>
                <w:rFonts w:ascii="Times New Roman" w:eastAsia="Arial Unicode MS" w:hAnsi="Times New Roman" w:cs="Times New Roman"/>
                <w:szCs w:val="24"/>
                <w:lang w:eastAsia="en-GB"/>
              </w:rPr>
              <w:t>Engers</w:t>
            </w:r>
            <w:proofErr w:type="spellEnd"/>
            <w:r w:rsidRPr="001053BF">
              <w:rPr>
                <w:rFonts w:ascii="Times New Roman" w:eastAsia="Arial Unicode MS" w:hAnsi="Times New Roman" w:cs="Times New Roman"/>
                <w:szCs w:val="24"/>
                <w:lang w:eastAsia="en-GB"/>
              </w:rPr>
              <w:t xml:space="preserve"> et al, 2008; Heymans et al, 2004; 2006).</w:t>
            </w:r>
          </w:p>
          <w:p w:rsidR="00B70675" w:rsidRPr="001053BF" w:rsidRDefault="00B70675" w:rsidP="00E86354">
            <w:pPr>
              <w:rPr>
                <w:rFonts w:ascii="Times New Roman" w:eastAsia="Arial Unicode MS" w:hAnsi="Times New Roman" w:cs="Times New Roman"/>
                <w:szCs w:val="24"/>
                <w:lang w:eastAsia="en-GB"/>
              </w:rPr>
            </w:pPr>
          </w:p>
          <w:p w:rsidR="00B70675" w:rsidRPr="001053BF" w:rsidRDefault="00B70675" w:rsidP="00E86354">
            <w:pPr>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Advice for bed rest is not effective for reducing pain and improving function in both acute and chronic LBP presentations (</w:t>
            </w:r>
            <w:proofErr w:type="spellStart"/>
            <w:r w:rsidRPr="001053BF">
              <w:rPr>
                <w:rFonts w:ascii="Times New Roman" w:eastAsia="Arial Unicode MS" w:hAnsi="Times New Roman" w:cs="Times New Roman"/>
                <w:szCs w:val="24"/>
                <w:lang w:eastAsia="en-GB"/>
              </w:rPr>
              <w:t>Dahm</w:t>
            </w:r>
            <w:proofErr w:type="spellEnd"/>
            <w:r w:rsidRPr="001053BF">
              <w:rPr>
                <w:rFonts w:ascii="Times New Roman" w:eastAsia="Arial Unicode MS" w:hAnsi="Times New Roman" w:cs="Times New Roman"/>
                <w:szCs w:val="24"/>
                <w:lang w:eastAsia="en-GB"/>
              </w:rPr>
              <w:t xml:space="preserve"> et al. 2010; Hagen et al, 2004; MOM 201</w:t>
            </w:r>
            <w:r w:rsidR="005A4E5F" w:rsidRPr="001053BF">
              <w:rPr>
                <w:rFonts w:ascii="Times New Roman" w:eastAsia="Arial Unicode MS" w:hAnsi="Times New Roman" w:cs="Times New Roman"/>
                <w:szCs w:val="24"/>
                <w:lang w:eastAsia="en-GB"/>
              </w:rPr>
              <w:t>4</w:t>
            </w:r>
            <w:r w:rsidRPr="001053BF">
              <w:rPr>
                <w:rFonts w:ascii="Times New Roman" w:eastAsia="Arial Unicode MS" w:hAnsi="Times New Roman" w:cs="Times New Roman"/>
                <w:szCs w:val="24"/>
                <w:lang w:eastAsia="en-GB"/>
              </w:rPr>
              <w:t>; NICE 2009).</w:t>
            </w:r>
          </w:p>
          <w:p w:rsidR="00B70675" w:rsidRPr="001053BF" w:rsidRDefault="00B70675" w:rsidP="00E86354">
            <w:pPr>
              <w:rPr>
                <w:rFonts w:ascii="Times New Roman" w:eastAsia="Arial Unicode MS" w:hAnsi="Times New Roman" w:cs="Times New Roman"/>
                <w:szCs w:val="24"/>
                <w:lang w:eastAsia="en-GB"/>
              </w:rPr>
            </w:pPr>
          </w:p>
          <w:p w:rsidR="00B70675" w:rsidRPr="001053BF" w:rsidRDefault="00B70675" w:rsidP="00822570">
            <w:pPr>
              <w:rPr>
                <w:rFonts w:ascii="Times New Roman" w:eastAsia="Arial Unicode MS" w:hAnsi="Times New Roman" w:cs="Times New Roman"/>
                <w:szCs w:val="24"/>
                <w:lang w:eastAsia="en-GB"/>
              </w:rPr>
            </w:pPr>
            <w:r w:rsidRPr="001053BF">
              <w:rPr>
                <w:rFonts w:ascii="Times New Roman" w:eastAsia="Arial Unicode MS" w:hAnsi="Times New Roman" w:cs="Times New Roman"/>
                <w:szCs w:val="24"/>
                <w:lang w:eastAsia="en-GB"/>
              </w:rPr>
              <w:t>Advice to stay active lead to small improvements</w:t>
            </w:r>
            <w:r w:rsidR="00822570" w:rsidRPr="001053BF">
              <w:rPr>
                <w:rFonts w:ascii="Times New Roman" w:eastAsia="Arial Unicode MS" w:hAnsi="Times New Roman" w:cs="Times New Roman"/>
                <w:szCs w:val="24"/>
                <w:lang w:eastAsia="en-GB"/>
              </w:rPr>
              <w:t xml:space="preserve"> </w:t>
            </w:r>
            <w:r w:rsidRPr="001053BF">
              <w:rPr>
                <w:rFonts w:ascii="Times New Roman" w:eastAsia="Arial Unicode MS" w:hAnsi="Times New Roman" w:cs="Times New Roman"/>
                <w:szCs w:val="24"/>
                <w:lang w:eastAsia="en-GB"/>
              </w:rPr>
              <w:t>in pain relief (SMD 0.22 (95% CI: 0.02 to 0.41) and functional status (SMD 0.29 (95% CI: 0.09 to 0.49) (</w:t>
            </w:r>
            <w:proofErr w:type="spellStart"/>
            <w:r w:rsidRPr="001053BF">
              <w:rPr>
                <w:rFonts w:ascii="Times New Roman" w:eastAsia="Arial Unicode MS" w:hAnsi="Times New Roman" w:cs="Times New Roman"/>
                <w:szCs w:val="24"/>
                <w:lang w:eastAsia="en-GB"/>
              </w:rPr>
              <w:t>Dahm</w:t>
            </w:r>
            <w:proofErr w:type="spellEnd"/>
            <w:r w:rsidRPr="001053BF">
              <w:rPr>
                <w:rFonts w:ascii="Times New Roman" w:eastAsia="Arial Unicode MS" w:hAnsi="Times New Roman" w:cs="Times New Roman"/>
                <w:szCs w:val="24"/>
                <w:lang w:eastAsia="en-GB"/>
              </w:rPr>
              <w:t xml:space="preserve"> et </w:t>
            </w:r>
            <w:proofErr w:type="spellStart"/>
            <w:r w:rsidRPr="001053BF">
              <w:rPr>
                <w:rFonts w:ascii="Times New Roman" w:eastAsia="Arial Unicode MS" w:hAnsi="Times New Roman" w:cs="Times New Roman"/>
                <w:szCs w:val="24"/>
                <w:lang w:eastAsia="en-GB"/>
              </w:rPr>
              <w:t>al.2010</w:t>
            </w:r>
            <w:proofErr w:type="spellEnd"/>
            <w:r w:rsidRPr="001053BF">
              <w:rPr>
                <w:rFonts w:ascii="Times New Roman" w:eastAsia="Arial Unicode MS" w:hAnsi="Times New Roman" w:cs="Times New Roman"/>
                <w:szCs w:val="24"/>
                <w:lang w:eastAsia="en-GB"/>
              </w:rPr>
              <w:t>).</w:t>
            </w:r>
          </w:p>
        </w:tc>
        <w:tc>
          <w:tcPr>
            <w:tcW w:w="1985" w:type="dxa"/>
            <w:tcBorders>
              <w:top w:val="single" w:sz="4" w:space="0" w:color="auto"/>
              <w:bottom w:val="single" w:sz="18" w:space="0" w:color="auto"/>
            </w:tcBorders>
          </w:tcPr>
          <w:p w:rsidR="002077B5" w:rsidRPr="001053BF" w:rsidRDefault="00B70675" w:rsidP="00E86354">
            <w:pPr>
              <w:pStyle w:val="ListParagraph"/>
              <w:ind w:left="175"/>
              <w:rPr>
                <w:rFonts w:ascii="Times New Roman" w:eastAsia="Arial Unicode MS" w:hAnsi="Times New Roman" w:cs="Times New Roman"/>
                <w:b/>
                <w:szCs w:val="24"/>
                <w:lang w:eastAsia="en-GB"/>
              </w:rPr>
            </w:pPr>
            <w:r w:rsidRPr="001053BF">
              <w:rPr>
                <w:rFonts w:ascii="Times New Roman" w:eastAsia="Arial Unicode MS" w:hAnsi="Times New Roman" w:cs="Times New Roman"/>
                <w:b/>
                <w:szCs w:val="24"/>
                <w:lang w:eastAsia="en-GB"/>
              </w:rPr>
              <w:t>***Moderate evidence</w:t>
            </w:r>
          </w:p>
          <w:p w:rsidR="002077B5" w:rsidRPr="001053BF" w:rsidRDefault="002077B5" w:rsidP="00E86354">
            <w:pPr>
              <w:pStyle w:val="ListParagraph"/>
              <w:ind w:left="175"/>
              <w:rPr>
                <w:rFonts w:ascii="Times New Roman" w:eastAsia="Arial Unicode MS" w:hAnsi="Times New Roman" w:cs="Times New Roman"/>
                <w:b/>
                <w:szCs w:val="24"/>
                <w:lang w:eastAsia="en-GB"/>
              </w:rPr>
            </w:pPr>
          </w:p>
          <w:p w:rsidR="00B70675" w:rsidRPr="001053BF" w:rsidRDefault="002077B5" w:rsidP="002077B5">
            <w:pPr>
              <w:pStyle w:val="ListParagraph"/>
              <w:ind w:left="175"/>
              <w:rPr>
                <w:rFonts w:ascii="Times New Roman" w:eastAsia="Arial Unicode MS" w:hAnsi="Times New Roman" w:cs="Times New Roman"/>
                <w:szCs w:val="24"/>
                <w:lang w:eastAsia="en-GB"/>
              </w:rPr>
            </w:pPr>
            <w:r w:rsidRPr="001053BF">
              <w:rPr>
                <w:rFonts w:ascii="Times New Roman" w:eastAsia="Arial Unicode MS" w:hAnsi="Times New Roman" w:cs="Times New Roman"/>
                <w:b/>
                <w:szCs w:val="24"/>
                <w:lang w:eastAsia="en-GB"/>
              </w:rPr>
              <w:t xml:space="preserve">Small </w:t>
            </w:r>
            <w:r w:rsidR="00B70675" w:rsidRPr="001053BF">
              <w:rPr>
                <w:rFonts w:ascii="Times New Roman" w:eastAsia="Arial Unicode MS" w:hAnsi="Times New Roman" w:cs="Times New Roman"/>
                <w:b/>
                <w:szCs w:val="24"/>
                <w:lang w:eastAsia="en-GB"/>
              </w:rPr>
              <w:t>effec</w:t>
            </w:r>
            <w:r w:rsidRPr="001053BF">
              <w:rPr>
                <w:rFonts w:ascii="Times New Roman" w:eastAsia="Arial Unicode MS" w:hAnsi="Times New Roman" w:cs="Times New Roman"/>
                <w:b/>
                <w:szCs w:val="24"/>
                <w:lang w:eastAsia="en-GB"/>
              </w:rPr>
              <w:t>ts</w:t>
            </w:r>
          </w:p>
        </w:tc>
        <w:tc>
          <w:tcPr>
            <w:tcW w:w="3118" w:type="dxa"/>
            <w:tcBorders>
              <w:top w:val="single" w:sz="4" w:space="0" w:color="auto"/>
              <w:bottom w:val="single" w:sz="18" w:space="0" w:color="auto"/>
              <w:right w:val="nil"/>
            </w:tcBorders>
          </w:tcPr>
          <w:p w:rsidR="00B70675" w:rsidRPr="001053BF" w:rsidRDefault="00B70675" w:rsidP="002C4426">
            <w:pPr>
              <w:rPr>
                <w:rFonts w:ascii="Times New Roman" w:eastAsia="Arial Unicode MS" w:hAnsi="Times New Roman" w:cs="Times New Roman"/>
                <w:sz w:val="24"/>
                <w:szCs w:val="24"/>
                <w:lang w:eastAsia="en-GB"/>
              </w:rPr>
            </w:pPr>
          </w:p>
        </w:tc>
      </w:tr>
    </w:tbl>
    <w:p w:rsidR="001053BF" w:rsidRDefault="001053BF" w:rsidP="002077B5">
      <w:pPr>
        <w:spacing w:after="0" w:line="240" w:lineRule="auto"/>
        <w:ind w:left="720" w:hanging="720"/>
        <w:jc w:val="both"/>
        <w:rPr>
          <w:rFonts w:ascii="Times New Roman" w:eastAsia="Arial Unicode MS" w:hAnsi="Times New Roman" w:cs="Times New Roman"/>
          <w:bCs/>
          <w:sz w:val="20"/>
        </w:rPr>
      </w:pPr>
    </w:p>
    <w:p w:rsidR="002077B5" w:rsidRPr="001053BF" w:rsidRDefault="002077B5" w:rsidP="002077B5">
      <w:pPr>
        <w:spacing w:after="0" w:line="240" w:lineRule="auto"/>
        <w:ind w:left="720" w:hanging="720"/>
        <w:jc w:val="both"/>
        <w:rPr>
          <w:rFonts w:ascii="Times New Roman" w:eastAsia="Arial Unicode MS" w:hAnsi="Times New Roman" w:cs="Times New Roman"/>
          <w:bCs/>
          <w:sz w:val="20"/>
        </w:rPr>
      </w:pPr>
      <w:r w:rsidRPr="001053BF">
        <w:rPr>
          <w:rFonts w:ascii="Times New Roman" w:eastAsia="Arial Unicode MS" w:hAnsi="Times New Roman" w:cs="Times New Roman"/>
          <w:bCs/>
          <w:sz w:val="20"/>
        </w:rPr>
        <w:t xml:space="preserve">*Very weak evidence:  </w:t>
      </w:r>
      <w:r w:rsidRPr="001053BF">
        <w:rPr>
          <w:rFonts w:ascii="Times New Roman" w:eastAsia="Arial Unicode MS" w:hAnsi="Times New Roman" w:cs="Times New Roman"/>
          <w:bCs/>
          <w:sz w:val="20"/>
        </w:rPr>
        <w:tab/>
        <w:t xml:space="preserve">Expert opinions or consensus in guidelines only / Absence of evidence in a single systematic review. </w:t>
      </w:r>
    </w:p>
    <w:p w:rsidR="002077B5" w:rsidRPr="001053BF" w:rsidRDefault="002077B5" w:rsidP="002077B5">
      <w:pPr>
        <w:spacing w:after="0" w:line="240" w:lineRule="auto"/>
        <w:ind w:left="720" w:hanging="720"/>
        <w:jc w:val="both"/>
        <w:rPr>
          <w:rFonts w:ascii="Times New Roman" w:eastAsia="Arial Unicode MS" w:hAnsi="Times New Roman" w:cs="Times New Roman"/>
          <w:bCs/>
          <w:sz w:val="20"/>
        </w:rPr>
      </w:pPr>
      <w:r w:rsidRPr="001053BF">
        <w:rPr>
          <w:rFonts w:ascii="Times New Roman" w:eastAsia="Arial Unicode MS" w:hAnsi="Times New Roman" w:cs="Times New Roman"/>
          <w:bCs/>
          <w:sz w:val="20"/>
        </w:rPr>
        <w:t xml:space="preserve">** </w:t>
      </w:r>
      <w:r w:rsidRPr="001053BF">
        <w:rPr>
          <w:rFonts w:ascii="Times New Roman" w:eastAsia="Arial Unicode MS" w:hAnsi="Times New Roman" w:cs="Times New Roman"/>
          <w:bCs/>
          <w:sz w:val="20"/>
        </w:rPr>
        <w:tab/>
        <w:t xml:space="preserve">Limited evidence: </w:t>
      </w:r>
      <w:r w:rsidRPr="001053BF">
        <w:rPr>
          <w:rFonts w:ascii="Times New Roman" w:eastAsia="Arial Unicode MS" w:hAnsi="Times New Roman" w:cs="Times New Roman"/>
          <w:bCs/>
          <w:sz w:val="20"/>
        </w:rPr>
        <w:tab/>
        <w:t>little empirical evidence from systematic reviews/evidence-based guidelines AND when there were small, inconsistent, or non-significant treatment effect sizes.</w:t>
      </w:r>
    </w:p>
    <w:p w:rsidR="002077B5" w:rsidRPr="001053BF" w:rsidRDefault="002077B5" w:rsidP="002077B5">
      <w:pPr>
        <w:spacing w:after="0" w:line="240" w:lineRule="auto"/>
        <w:ind w:left="720" w:hanging="720"/>
        <w:jc w:val="both"/>
        <w:rPr>
          <w:rFonts w:ascii="Times New Roman" w:eastAsia="Arial Unicode MS" w:hAnsi="Times New Roman" w:cs="Times New Roman"/>
          <w:bCs/>
          <w:sz w:val="20"/>
        </w:rPr>
      </w:pPr>
      <w:r w:rsidRPr="001053BF">
        <w:rPr>
          <w:rFonts w:ascii="Times New Roman" w:eastAsia="Arial Unicode MS" w:hAnsi="Times New Roman" w:cs="Times New Roman"/>
          <w:bCs/>
          <w:sz w:val="20"/>
        </w:rPr>
        <w:t xml:space="preserve">***  </w:t>
      </w:r>
      <w:r w:rsidRPr="001053BF">
        <w:rPr>
          <w:rFonts w:ascii="Times New Roman" w:eastAsia="Arial Unicode MS" w:hAnsi="Times New Roman" w:cs="Times New Roman"/>
          <w:bCs/>
          <w:sz w:val="20"/>
        </w:rPr>
        <w:tab/>
        <w:t xml:space="preserve">Moderate evidence: </w:t>
      </w:r>
      <w:r w:rsidRPr="001053BF">
        <w:rPr>
          <w:rFonts w:ascii="Times New Roman" w:eastAsia="Arial Unicode MS" w:hAnsi="Times New Roman" w:cs="Times New Roman"/>
          <w:bCs/>
          <w:sz w:val="20"/>
        </w:rPr>
        <w:tab/>
        <w:t>little empirical evidence from systematic reviews/evidence-based guidelines (as in limited evidence) but showing a medium to large treatment effect OR in the presence of strong empirical evidence from high quality systematic reviews, but with small or inconsistent treatment effect sizes across systematic reviews.</w:t>
      </w:r>
    </w:p>
    <w:p w:rsidR="003B7EBB" w:rsidRPr="001053BF" w:rsidRDefault="002077B5" w:rsidP="002077B5">
      <w:pPr>
        <w:spacing w:after="0" w:line="240" w:lineRule="auto"/>
        <w:ind w:left="720" w:hanging="720"/>
        <w:jc w:val="both"/>
        <w:rPr>
          <w:rFonts w:ascii="Times New Roman" w:eastAsia="Arial Unicode MS" w:hAnsi="Times New Roman" w:cs="Times New Roman"/>
          <w:bCs/>
          <w:sz w:val="20"/>
          <w:highlight w:val="yellow"/>
        </w:rPr>
      </w:pPr>
      <w:r w:rsidRPr="001053BF">
        <w:rPr>
          <w:rFonts w:ascii="Times New Roman" w:eastAsia="Arial Unicode MS" w:hAnsi="Times New Roman" w:cs="Times New Roman"/>
          <w:bCs/>
          <w:sz w:val="20"/>
        </w:rPr>
        <w:t xml:space="preserve">****  </w:t>
      </w:r>
      <w:r w:rsidRPr="001053BF">
        <w:rPr>
          <w:rFonts w:ascii="Times New Roman" w:eastAsia="Arial Unicode MS" w:hAnsi="Times New Roman" w:cs="Times New Roman"/>
          <w:bCs/>
          <w:sz w:val="20"/>
        </w:rPr>
        <w:tab/>
        <w:t xml:space="preserve">Strong evidence: </w:t>
      </w:r>
      <w:r w:rsidRPr="001053BF">
        <w:rPr>
          <w:rFonts w:ascii="Times New Roman" w:eastAsia="Arial Unicode MS" w:hAnsi="Times New Roman" w:cs="Times New Roman"/>
          <w:bCs/>
          <w:sz w:val="20"/>
        </w:rPr>
        <w:tab/>
        <w:t xml:space="preserve">strong empirical evidence from high quality systematic reviews and evidence based clinical guidelines AND medium or large </w:t>
      </w:r>
      <w:proofErr w:type="gramStart"/>
      <w:r w:rsidRPr="001053BF">
        <w:rPr>
          <w:rFonts w:ascii="Times New Roman" w:eastAsia="Arial Unicode MS" w:hAnsi="Times New Roman" w:cs="Times New Roman"/>
          <w:bCs/>
          <w:sz w:val="20"/>
        </w:rPr>
        <w:t>effect</w:t>
      </w:r>
      <w:proofErr w:type="gramEnd"/>
      <w:r w:rsidRPr="001053BF">
        <w:rPr>
          <w:rFonts w:ascii="Times New Roman" w:eastAsia="Arial Unicode MS" w:hAnsi="Times New Roman" w:cs="Times New Roman"/>
          <w:bCs/>
          <w:sz w:val="20"/>
        </w:rPr>
        <w:t xml:space="preserve"> sizes.</w:t>
      </w:r>
    </w:p>
    <w:sectPr w:rsidR="003B7EBB" w:rsidRPr="001053BF" w:rsidSect="000D764A">
      <w:pgSz w:w="23814" w:h="16839" w:orient="landscape" w:code="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396"/>
    <w:multiLevelType w:val="hybridMultilevel"/>
    <w:tmpl w:val="25EE82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46080"/>
    <w:multiLevelType w:val="hybridMultilevel"/>
    <w:tmpl w:val="D3145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66286"/>
    <w:multiLevelType w:val="hybridMultilevel"/>
    <w:tmpl w:val="046E5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12A3B"/>
    <w:multiLevelType w:val="hybridMultilevel"/>
    <w:tmpl w:val="CAD61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11C9B"/>
    <w:multiLevelType w:val="hybridMultilevel"/>
    <w:tmpl w:val="21E6D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D619E"/>
    <w:multiLevelType w:val="hybridMultilevel"/>
    <w:tmpl w:val="62DE63E4"/>
    <w:lvl w:ilvl="0" w:tplc="A0F8F12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03C66"/>
    <w:multiLevelType w:val="hybridMultilevel"/>
    <w:tmpl w:val="999698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FD33C1"/>
    <w:multiLevelType w:val="hybridMultilevel"/>
    <w:tmpl w:val="4E161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60BE5"/>
    <w:multiLevelType w:val="hybridMultilevel"/>
    <w:tmpl w:val="E026A29A"/>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1ECF2279"/>
    <w:multiLevelType w:val="hybridMultilevel"/>
    <w:tmpl w:val="74020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264EE7"/>
    <w:multiLevelType w:val="hybridMultilevel"/>
    <w:tmpl w:val="96DCEE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A4FF8"/>
    <w:multiLevelType w:val="hybridMultilevel"/>
    <w:tmpl w:val="69E02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1C57A9"/>
    <w:multiLevelType w:val="hybridMultilevel"/>
    <w:tmpl w:val="166C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968F6"/>
    <w:multiLevelType w:val="hybridMultilevel"/>
    <w:tmpl w:val="F5AA3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5D6B69"/>
    <w:multiLevelType w:val="hybridMultilevel"/>
    <w:tmpl w:val="C6BA5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95BBD"/>
    <w:multiLevelType w:val="hybridMultilevel"/>
    <w:tmpl w:val="5E14A4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64297"/>
    <w:multiLevelType w:val="hybridMultilevel"/>
    <w:tmpl w:val="9AB482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F2E90"/>
    <w:multiLevelType w:val="hybridMultilevel"/>
    <w:tmpl w:val="0A606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253C50"/>
    <w:multiLevelType w:val="hybridMultilevel"/>
    <w:tmpl w:val="A5449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A0339"/>
    <w:multiLevelType w:val="hybridMultilevel"/>
    <w:tmpl w:val="981E4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615B1"/>
    <w:multiLevelType w:val="hybridMultilevel"/>
    <w:tmpl w:val="ACE09E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06149"/>
    <w:multiLevelType w:val="hybridMultilevel"/>
    <w:tmpl w:val="95FC4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6C173D"/>
    <w:multiLevelType w:val="hybridMultilevel"/>
    <w:tmpl w:val="5F8AB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55664"/>
    <w:multiLevelType w:val="hybridMultilevel"/>
    <w:tmpl w:val="289E93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F05F23"/>
    <w:multiLevelType w:val="multilevel"/>
    <w:tmpl w:val="1C4839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66F39B0"/>
    <w:multiLevelType w:val="hybridMultilevel"/>
    <w:tmpl w:val="FAD6AEB6"/>
    <w:lvl w:ilvl="0" w:tplc="A34AD084">
      <w:start w:val="1"/>
      <w:numFmt w:val="bullet"/>
      <w:lvlText w:val=""/>
      <w:lvlJc w:val="left"/>
      <w:pPr>
        <w:ind w:left="730" w:hanging="360"/>
      </w:pPr>
      <w:rPr>
        <w:rFonts w:ascii="Symbol" w:hAnsi="Symbol" w:hint="default"/>
        <w:sz w:val="16"/>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6">
    <w:nsid w:val="582B234B"/>
    <w:multiLevelType w:val="hybridMultilevel"/>
    <w:tmpl w:val="5C6C1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35EA1"/>
    <w:multiLevelType w:val="hybridMultilevel"/>
    <w:tmpl w:val="46FA7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6B0B99"/>
    <w:multiLevelType w:val="hybridMultilevel"/>
    <w:tmpl w:val="08B2F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12DDD"/>
    <w:multiLevelType w:val="hybridMultilevel"/>
    <w:tmpl w:val="40D6B170"/>
    <w:lvl w:ilvl="0" w:tplc="08090003">
      <w:start w:val="1"/>
      <w:numFmt w:val="bullet"/>
      <w:lvlText w:val="o"/>
      <w:lvlJc w:val="left"/>
      <w:pPr>
        <w:ind w:left="141" w:hanging="360"/>
      </w:pPr>
      <w:rPr>
        <w:rFonts w:ascii="Courier New" w:hAnsi="Courier New" w:cs="Courier New"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30">
    <w:nsid w:val="671309DF"/>
    <w:multiLevelType w:val="hybridMultilevel"/>
    <w:tmpl w:val="E0F4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AC0607"/>
    <w:multiLevelType w:val="hybridMultilevel"/>
    <w:tmpl w:val="C4DCE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62E00"/>
    <w:multiLevelType w:val="hybridMultilevel"/>
    <w:tmpl w:val="CE820498"/>
    <w:lvl w:ilvl="0" w:tplc="A0F8F12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B314CC"/>
    <w:multiLevelType w:val="hybridMultilevel"/>
    <w:tmpl w:val="F864B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E46A9D"/>
    <w:multiLevelType w:val="hybridMultilevel"/>
    <w:tmpl w:val="A9F83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6A1885"/>
    <w:multiLevelType w:val="hybridMultilevel"/>
    <w:tmpl w:val="9634D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A14232"/>
    <w:multiLevelType w:val="hybridMultilevel"/>
    <w:tmpl w:val="99E42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186BBA"/>
    <w:multiLevelType w:val="hybridMultilevel"/>
    <w:tmpl w:val="228CC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6D3B78"/>
    <w:multiLevelType w:val="hybridMultilevel"/>
    <w:tmpl w:val="45A2E30A"/>
    <w:lvl w:ilvl="0" w:tplc="A0F8F12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E26BC4"/>
    <w:multiLevelType w:val="hybridMultilevel"/>
    <w:tmpl w:val="3078DD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14"/>
  </w:num>
  <w:num w:numId="4">
    <w:abstractNumId w:val="28"/>
  </w:num>
  <w:num w:numId="5">
    <w:abstractNumId w:val="21"/>
  </w:num>
  <w:num w:numId="6">
    <w:abstractNumId w:val="23"/>
  </w:num>
  <w:num w:numId="7">
    <w:abstractNumId w:val="13"/>
  </w:num>
  <w:num w:numId="8">
    <w:abstractNumId w:val="19"/>
  </w:num>
  <w:num w:numId="9">
    <w:abstractNumId w:val="20"/>
  </w:num>
  <w:num w:numId="10">
    <w:abstractNumId w:val="18"/>
  </w:num>
  <w:num w:numId="11">
    <w:abstractNumId w:val="6"/>
  </w:num>
  <w:num w:numId="12">
    <w:abstractNumId w:val="34"/>
  </w:num>
  <w:num w:numId="13">
    <w:abstractNumId w:val="27"/>
  </w:num>
  <w:num w:numId="14">
    <w:abstractNumId w:val="33"/>
  </w:num>
  <w:num w:numId="15">
    <w:abstractNumId w:val="26"/>
  </w:num>
  <w:num w:numId="16">
    <w:abstractNumId w:val="36"/>
  </w:num>
  <w:num w:numId="17">
    <w:abstractNumId w:val="16"/>
  </w:num>
  <w:num w:numId="18">
    <w:abstractNumId w:val="37"/>
  </w:num>
  <w:num w:numId="19">
    <w:abstractNumId w:val="11"/>
  </w:num>
  <w:num w:numId="20">
    <w:abstractNumId w:val="3"/>
  </w:num>
  <w:num w:numId="21">
    <w:abstractNumId w:val="15"/>
  </w:num>
  <w:num w:numId="22">
    <w:abstractNumId w:val="31"/>
  </w:num>
  <w:num w:numId="23">
    <w:abstractNumId w:val="4"/>
  </w:num>
  <w:num w:numId="24">
    <w:abstractNumId w:val="10"/>
  </w:num>
  <w:num w:numId="25">
    <w:abstractNumId w:val="1"/>
  </w:num>
  <w:num w:numId="26">
    <w:abstractNumId w:val="39"/>
  </w:num>
  <w:num w:numId="27">
    <w:abstractNumId w:val="2"/>
  </w:num>
  <w:num w:numId="28">
    <w:abstractNumId w:val="0"/>
  </w:num>
  <w:num w:numId="29">
    <w:abstractNumId w:val="9"/>
  </w:num>
  <w:num w:numId="30">
    <w:abstractNumId w:val="29"/>
  </w:num>
  <w:num w:numId="31">
    <w:abstractNumId w:val="8"/>
  </w:num>
  <w:num w:numId="32">
    <w:abstractNumId w:val="25"/>
  </w:num>
  <w:num w:numId="33">
    <w:abstractNumId w:val="38"/>
  </w:num>
  <w:num w:numId="34">
    <w:abstractNumId w:val="32"/>
  </w:num>
  <w:num w:numId="35">
    <w:abstractNumId w:val="5"/>
  </w:num>
  <w:num w:numId="36">
    <w:abstractNumId w:val="24"/>
  </w:num>
  <w:num w:numId="37">
    <w:abstractNumId w:val="30"/>
  </w:num>
  <w:num w:numId="38">
    <w:abstractNumId w:val="22"/>
  </w:num>
  <w:num w:numId="39">
    <w:abstractNumId w:val="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53"/>
    <w:rsid w:val="00001A56"/>
    <w:rsid w:val="00037315"/>
    <w:rsid w:val="00061B5D"/>
    <w:rsid w:val="00067C40"/>
    <w:rsid w:val="00081C57"/>
    <w:rsid w:val="00083AD2"/>
    <w:rsid w:val="000843EA"/>
    <w:rsid w:val="00094DAE"/>
    <w:rsid w:val="000A4E6C"/>
    <w:rsid w:val="000B04F0"/>
    <w:rsid w:val="000B4109"/>
    <w:rsid w:val="000C32E8"/>
    <w:rsid w:val="000D3404"/>
    <w:rsid w:val="000D764A"/>
    <w:rsid w:val="000F7592"/>
    <w:rsid w:val="00100820"/>
    <w:rsid w:val="001053BF"/>
    <w:rsid w:val="001271C8"/>
    <w:rsid w:val="00136A1A"/>
    <w:rsid w:val="00145CE4"/>
    <w:rsid w:val="0014611A"/>
    <w:rsid w:val="001A3AF4"/>
    <w:rsid w:val="001E3B9E"/>
    <w:rsid w:val="001F1BF6"/>
    <w:rsid w:val="002077B5"/>
    <w:rsid w:val="00220500"/>
    <w:rsid w:val="00250F6B"/>
    <w:rsid w:val="00276387"/>
    <w:rsid w:val="00280335"/>
    <w:rsid w:val="00281145"/>
    <w:rsid w:val="00285DF9"/>
    <w:rsid w:val="00287FD7"/>
    <w:rsid w:val="00291838"/>
    <w:rsid w:val="00294D30"/>
    <w:rsid w:val="002C7D0C"/>
    <w:rsid w:val="002E04BB"/>
    <w:rsid w:val="002F1127"/>
    <w:rsid w:val="00314E3D"/>
    <w:rsid w:val="00317217"/>
    <w:rsid w:val="00320DDD"/>
    <w:rsid w:val="00321AC3"/>
    <w:rsid w:val="00342409"/>
    <w:rsid w:val="00351560"/>
    <w:rsid w:val="00355B36"/>
    <w:rsid w:val="003B5B0A"/>
    <w:rsid w:val="003B7EBB"/>
    <w:rsid w:val="003D6F83"/>
    <w:rsid w:val="003E3813"/>
    <w:rsid w:val="00403459"/>
    <w:rsid w:val="0041434B"/>
    <w:rsid w:val="00420265"/>
    <w:rsid w:val="0042186F"/>
    <w:rsid w:val="00491771"/>
    <w:rsid w:val="004A607A"/>
    <w:rsid w:val="004C6B69"/>
    <w:rsid w:val="004F09A7"/>
    <w:rsid w:val="00506081"/>
    <w:rsid w:val="0053339E"/>
    <w:rsid w:val="00542075"/>
    <w:rsid w:val="00543F88"/>
    <w:rsid w:val="00547B04"/>
    <w:rsid w:val="00552AC3"/>
    <w:rsid w:val="005532FD"/>
    <w:rsid w:val="00570ABD"/>
    <w:rsid w:val="00570E0B"/>
    <w:rsid w:val="00572439"/>
    <w:rsid w:val="005A0D3A"/>
    <w:rsid w:val="005A4E5F"/>
    <w:rsid w:val="005D0E58"/>
    <w:rsid w:val="005D54D2"/>
    <w:rsid w:val="005E1830"/>
    <w:rsid w:val="005E7D7B"/>
    <w:rsid w:val="00600AED"/>
    <w:rsid w:val="006026CF"/>
    <w:rsid w:val="006146F0"/>
    <w:rsid w:val="00617251"/>
    <w:rsid w:val="00640721"/>
    <w:rsid w:val="006532F7"/>
    <w:rsid w:val="00670DF8"/>
    <w:rsid w:val="006A09F9"/>
    <w:rsid w:val="006A2BBC"/>
    <w:rsid w:val="006A4E82"/>
    <w:rsid w:val="006E325D"/>
    <w:rsid w:val="006F48B2"/>
    <w:rsid w:val="00701E89"/>
    <w:rsid w:val="0071444F"/>
    <w:rsid w:val="0073240F"/>
    <w:rsid w:val="00741AC9"/>
    <w:rsid w:val="0074595C"/>
    <w:rsid w:val="00764E59"/>
    <w:rsid w:val="007651A1"/>
    <w:rsid w:val="00771901"/>
    <w:rsid w:val="00774EC3"/>
    <w:rsid w:val="00775892"/>
    <w:rsid w:val="007B2952"/>
    <w:rsid w:val="007C3819"/>
    <w:rsid w:val="00806C00"/>
    <w:rsid w:val="00822570"/>
    <w:rsid w:val="00831A38"/>
    <w:rsid w:val="00877D01"/>
    <w:rsid w:val="008A17AE"/>
    <w:rsid w:val="008A3624"/>
    <w:rsid w:val="008A70E9"/>
    <w:rsid w:val="008E6912"/>
    <w:rsid w:val="009229B4"/>
    <w:rsid w:val="00957C29"/>
    <w:rsid w:val="00966D77"/>
    <w:rsid w:val="00970A77"/>
    <w:rsid w:val="00990D0D"/>
    <w:rsid w:val="009A19F6"/>
    <w:rsid w:val="009B30F4"/>
    <w:rsid w:val="009B3112"/>
    <w:rsid w:val="009C3C5C"/>
    <w:rsid w:val="009C3EE4"/>
    <w:rsid w:val="009C4500"/>
    <w:rsid w:val="009C59C4"/>
    <w:rsid w:val="009E6FB0"/>
    <w:rsid w:val="009F076A"/>
    <w:rsid w:val="009F174E"/>
    <w:rsid w:val="009F596B"/>
    <w:rsid w:val="009F70B6"/>
    <w:rsid w:val="00A02552"/>
    <w:rsid w:val="00A03634"/>
    <w:rsid w:val="00A22A65"/>
    <w:rsid w:val="00A25842"/>
    <w:rsid w:val="00A25F01"/>
    <w:rsid w:val="00A3432A"/>
    <w:rsid w:val="00A37328"/>
    <w:rsid w:val="00A73D7F"/>
    <w:rsid w:val="00AC2C92"/>
    <w:rsid w:val="00AC6AF8"/>
    <w:rsid w:val="00AD23AC"/>
    <w:rsid w:val="00AF0F47"/>
    <w:rsid w:val="00B4396E"/>
    <w:rsid w:val="00B70675"/>
    <w:rsid w:val="00B733FE"/>
    <w:rsid w:val="00B77815"/>
    <w:rsid w:val="00B9031B"/>
    <w:rsid w:val="00B93AC8"/>
    <w:rsid w:val="00B94C6B"/>
    <w:rsid w:val="00BA16FA"/>
    <w:rsid w:val="00BB4386"/>
    <w:rsid w:val="00BC0F09"/>
    <w:rsid w:val="00BD763A"/>
    <w:rsid w:val="00BE224B"/>
    <w:rsid w:val="00BE48F3"/>
    <w:rsid w:val="00BF13BE"/>
    <w:rsid w:val="00C1488F"/>
    <w:rsid w:val="00C1709F"/>
    <w:rsid w:val="00C342D9"/>
    <w:rsid w:val="00C35BF8"/>
    <w:rsid w:val="00C40F01"/>
    <w:rsid w:val="00C523DD"/>
    <w:rsid w:val="00C5666C"/>
    <w:rsid w:val="00C56A7A"/>
    <w:rsid w:val="00C57053"/>
    <w:rsid w:val="00C771EC"/>
    <w:rsid w:val="00CA5732"/>
    <w:rsid w:val="00CA7E70"/>
    <w:rsid w:val="00CB1233"/>
    <w:rsid w:val="00CC2595"/>
    <w:rsid w:val="00CC6C69"/>
    <w:rsid w:val="00D16C50"/>
    <w:rsid w:val="00D329D6"/>
    <w:rsid w:val="00D371CC"/>
    <w:rsid w:val="00D44A81"/>
    <w:rsid w:val="00D473E6"/>
    <w:rsid w:val="00D902AD"/>
    <w:rsid w:val="00D96004"/>
    <w:rsid w:val="00DA11C5"/>
    <w:rsid w:val="00DC6E98"/>
    <w:rsid w:val="00DD2DC6"/>
    <w:rsid w:val="00DD7ADA"/>
    <w:rsid w:val="00DE0D19"/>
    <w:rsid w:val="00DF0766"/>
    <w:rsid w:val="00E06BF4"/>
    <w:rsid w:val="00E1476D"/>
    <w:rsid w:val="00E177A8"/>
    <w:rsid w:val="00E26DF4"/>
    <w:rsid w:val="00E26FCE"/>
    <w:rsid w:val="00E41B0A"/>
    <w:rsid w:val="00E43C14"/>
    <w:rsid w:val="00E5358F"/>
    <w:rsid w:val="00E53B1C"/>
    <w:rsid w:val="00E85A31"/>
    <w:rsid w:val="00E86354"/>
    <w:rsid w:val="00E92706"/>
    <w:rsid w:val="00EA2BF4"/>
    <w:rsid w:val="00EA3553"/>
    <w:rsid w:val="00EA49DC"/>
    <w:rsid w:val="00EA5E3D"/>
    <w:rsid w:val="00EB3251"/>
    <w:rsid w:val="00EB75FE"/>
    <w:rsid w:val="00ED0644"/>
    <w:rsid w:val="00F14B02"/>
    <w:rsid w:val="00F1501E"/>
    <w:rsid w:val="00F50FA4"/>
    <w:rsid w:val="00F51093"/>
    <w:rsid w:val="00F867C7"/>
    <w:rsid w:val="00FB2716"/>
    <w:rsid w:val="00FC2ADE"/>
    <w:rsid w:val="00FC70F2"/>
    <w:rsid w:val="00FD7EDF"/>
    <w:rsid w:val="00FE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53"/>
    <w:rPr>
      <w:color w:val="0000FF" w:themeColor="hyperlink"/>
      <w:u w:val="single"/>
    </w:rPr>
  </w:style>
  <w:style w:type="table" w:styleId="TableGrid">
    <w:name w:val="Table Grid"/>
    <w:basedOn w:val="TableNormal"/>
    <w:uiPriority w:val="59"/>
    <w:rsid w:val="0064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A4E6C"/>
    <w:rPr>
      <w:i/>
      <w:iCs/>
      <w:color w:val="808080" w:themeColor="text1" w:themeTint="7F"/>
    </w:rPr>
  </w:style>
  <w:style w:type="paragraph" w:styleId="ListParagraph">
    <w:name w:val="List Paragraph"/>
    <w:basedOn w:val="Normal"/>
    <w:uiPriority w:val="34"/>
    <w:qFormat/>
    <w:rsid w:val="000D764A"/>
    <w:pPr>
      <w:ind w:left="720"/>
      <w:contextualSpacing/>
    </w:pPr>
    <w:rPr>
      <w:rFonts w:ascii="Arial" w:hAnsi="Arial"/>
      <w:sz w:val="24"/>
    </w:rPr>
  </w:style>
  <w:style w:type="character" w:styleId="CommentReference">
    <w:name w:val="annotation reference"/>
    <w:basedOn w:val="DefaultParagraphFont"/>
    <w:uiPriority w:val="99"/>
    <w:semiHidden/>
    <w:unhideWhenUsed/>
    <w:rsid w:val="00355B36"/>
    <w:rPr>
      <w:sz w:val="16"/>
      <w:szCs w:val="16"/>
    </w:rPr>
  </w:style>
  <w:style w:type="paragraph" w:styleId="CommentText">
    <w:name w:val="annotation text"/>
    <w:basedOn w:val="Normal"/>
    <w:link w:val="CommentTextChar"/>
    <w:uiPriority w:val="99"/>
    <w:semiHidden/>
    <w:unhideWhenUsed/>
    <w:rsid w:val="00355B3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55B36"/>
    <w:rPr>
      <w:rFonts w:ascii="Arial" w:hAnsi="Arial"/>
      <w:sz w:val="20"/>
      <w:szCs w:val="20"/>
    </w:rPr>
  </w:style>
  <w:style w:type="paragraph" w:styleId="BalloonText">
    <w:name w:val="Balloon Text"/>
    <w:basedOn w:val="Normal"/>
    <w:link w:val="BalloonTextChar"/>
    <w:uiPriority w:val="99"/>
    <w:semiHidden/>
    <w:unhideWhenUsed/>
    <w:rsid w:val="0035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53"/>
    <w:rPr>
      <w:color w:val="0000FF" w:themeColor="hyperlink"/>
      <w:u w:val="single"/>
    </w:rPr>
  </w:style>
  <w:style w:type="table" w:styleId="TableGrid">
    <w:name w:val="Table Grid"/>
    <w:basedOn w:val="TableNormal"/>
    <w:uiPriority w:val="59"/>
    <w:rsid w:val="0064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A4E6C"/>
    <w:rPr>
      <w:i/>
      <w:iCs/>
      <w:color w:val="808080" w:themeColor="text1" w:themeTint="7F"/>
    </w:rPr>
  </w:style>
  <w:style w:type="paragraph" w:styleId="ListParagraph">
    <w:name w:val="List Paragraph"/>
    <w:basedOn w:val="Normal"/>
    <w:uiPriority w:val="34"/>
    <w:qFormat/>
    <w:rsid w:val="000D764A"/>
    <w:pPr>
      <w:ind w:left="720"/>
      <w:contextualSpacing/>
    </w:pPr>
    <w:rPr>
      <w:rFonts w:ascii="Arial" w:hAnsi="Arial"/>
      <w:sz w:val="24"/>
    </w:rPr>
  </w:style>
  <w:style w:type="character" w:styleId="CommentReference">
    <w:name w:val="annotation reference"/>
    <w:basedOn w:val="DefaultParagraphFont"/>
    <w:uiPriority w:val="99"/>
    <w:semiHidden/>
    <w:unhideWhenUsed/>
    <w:rsid w:val="00355B36"/>
    <w:rPr>
      <w:sz w:val="16"/>
      <w:szCs w:val="16"/>
    </w:rPr>
  </w:style>
  <w:style w:type="paragraph" w:styleId="CommentText">
    <w:name w:val="annotation text"/>
    <w:basedOn w:val="Normal"/>
    <w:link w:val="CommentTextChar"/>
    <w:uiPriority w:val="99"/>
    <w:semiHidden/>
    <w:unhideWhenUsed/>
    <w:rsid w:val="00355B3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55B36"/>
    <w:rPr>
      <w:rFonts w:ascii="Arial" w:hAnsi="Arial"/>
      <w:sz w:val="20"/>
      <w:szCs w:val="20"/>
    </w:rPr>
  </w:style>
  <w:style w:type="paragraph" w:styleId="BalloonText">
    <w:name w:val="Balloon Text"/>
    <w:basedOn w:val="Normal"/>
    <w:link w:val="BalloonTextChar"/>
    <w:uiPriority w:val="99"/>
    <w:semiHidden/>
    <w:unhideWhenUsed/>
    <w:rsid w:val="0035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2312">
      <w:bodyDiv w:val="1"/>
      <w:marLeft w:val="0"/>
      <w:marRight w:val="0"/>
      <w:marTop w:val="0"/>
      <w:marBottom w:val="0"/>
      <w:divBdr>
        <w:top w:val="none" w:sz="0" w:space="0" w:color="auto"/>
        <w:left w:val="none" w:sz="0" w:space="0" w:color="auto"/>
        <w:bottom w:val="none" w:sz="0" w:space="0" w:color="auto"/>
        <w:right w:val="none" w:sz="0" w:space="0" w:color="auto"/>
      </w:divBdr>
    </w:div>
    <w:div w:id="438574956">
      <w:bodyDiv w:val="1"/>
      <w:marLeft w:val="0"/>
      <w:marRight w:val="0"/>
      <w:marTop w:val="0"/>
      <w:marBottom w:val="0"/>
      <w:divBdr>
        <w:top w:val="none" w:sz="0" w:space="0" w:color="auto"/>
        <w:left w:val="none" w:sz="0" w:space="0" w:color="auto"/>
        <w:bottom w:val="none" w:sz="0" w:space="0" w:color="auto"/>
        <w:right w:val="none" w:sz="0" w:space="0" w:color="auto"/>
      </w:divBdr>
    </w:div>
    <w:div w:id="557201933">
      <w:bodyDiv w:val="1"/>
      <w:marLeft w:val="0"/>
      <w:marRight w:val="0"/>
      <w:marTop w:val="0"/>
      <w:marBottom w:val="0"/>
      <w:divBdr>
        <w:top w:val="none" w:sz="0" w:space="0" w:color="auto"/>
        <w:left w:val="none" w:sz="0" w:space="0" w:color="auto"/>
        <w:bottom w:val="none" w:sz="0" w:space="0" w:color="auto"/>
        <w:right w:val="none" w:sz="0" w:space="0" w:color="auto"/>
      </w:divBdr>
    </w:div>
    <w:div w:id="1214848101">
      <w:bodyDiv w:val="1"/>
      <w:marLeft w:val="0"/>
      <w:marRight w:val="0"/>
      <w:marTop w:val="0"/>
      <w:marBottom w:val="0"/>
      <w:divBdr>
        <w:top w:val="none" w:sz="0" w:space="0" w:color="auto"/>
        <w:left w:val="none" w:sz="0" w:space="0" w:color="auto"/>
        <w:bottom w:val="none" w:sz="0" w:space="0" w:color="auto"/>
        <w:right w:val="none" w:sz="0" w:space="0" w:color="auto"/>
      </w:divBdr>
    </w:div>
    <w:div w:id="1452551865">
      <w:bodyDiv w:val="1"/>
      <w:marLeft w:val="0"/>
      <w:marRight w:val="0"/>
      <w:marTop w:val="0"/>
      <w:marBottom w:val="0"/>
      <w:divBdr>
        <w:top w:val="none" w:sz="0" w:space="0" w:color="auto"/>
        <w:left w:val="none" w:sz="0" w:space="0" w:color="auto"/>
        <w:bottom w:val="none" w:sz="0" w:space="0" w:color="auto"/>
        <w:right w:val="none" w:sz="0" w:space="0" w:color="auto"/>
      </w:divBdr>
    </w:div>
    <w:div w:id="1473599466">
      <w:bodyDiv w:val="1"/>
      <w:marLeft w:val="0"/>
      <w:marRight w:val="0"/>
      <w:marTop w:val="0"/>
      <w:marBottom w:val="0"/>
      <w:divBdr>
        <w:top w:val="none" w:sz="0" w:space="0" w:color="auto"/>
        <w:left w:val="none" w:sz="0" w:space="0" w:color="auto"/>
        <w:bottom w:val="none" w:sz="0" w:space="0" w:color="auto"/>
        <w:right w:val="none" w:sz="0" w:space="0" w:color="auto"/>
      </w:divBdr>
    </w:div>
    <w:div w:id="1739018489">
      <w:bodyDiv w:val="1"/>
      <w:marLeft w:val="0"/>
      <w:marRight w:val="0"/>
      <w:marTop w:val="0"/>
      <w:marBottom w:val="0"/>
      <w:divBdr>
        <w:top w:val="none" w:sz="0" w:space="0" w:color="auto"/>
        <w:left w:val="none" w:sz="0" w:space="0" w:color="auto"/>
        <w:bottom w:val="none" w:sz="0" w:space="0" w:color="auto"/>
        <w:right w:val="none" w:sz="0" w:space="0" w:color="auto"/>
      </w:divBdr>
    </w:div>
    <w:div w:id="20514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Opeyemi</dc:creator>
  <cp:lastModifiedBy>Opeyemi</cp:lastModifiedBy>
  <cp:revision>4</cp:revision>
  <cp:lastPrinted>2014-02-11T21:46:00Z</cp:lastPrinted>
  <dcterms:created xsi:type="dcterms:W3CDTF">2016-03-10T13:11:00Z</dcterms:created>
  <dcterms:modified xsi:type="dcterms:W3CDTF">2016-07-12T13:02:00Z</dcterms:modified>
</cp:coreProperties>
</file>