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7B0" w:rsidRPr="00841CFB" w:rsidRDefault="00D817B0" w:rsidP="00D817B0">
      <w:pPr>
        <w:rPr>
          <w:rFonts w:ascii="Times New Roman" w:hAnsi="Times New Roman" w:cs="Times New Roman"/>
          <w:b/>
        </w:rPr>
      </w:pPr>
      <w:proofErr w:type="spellStart"/>
      <w:r>
        <w:rPr>
          <w:rFonts w:ascii="Times New Roman" w:hAnsi="Times New Roman" w:cs="Times New Roman"/>
          <w:b/>
        </w:rPr>
        <w:t>Supplementary</w:t>
      </w:r>
      <w:proofErr w:type="spellEnd"/>
      <w:r>
        <w:rPr>
          <w:rFonts w:ascii="Times New Roman" w:hAnsi="Times New Roman" w:cs="Times New Roman"/>
          <w:b/>
        </w:rPr>
        <w:t xml:space="preserve"> 1</w:t>
      </w:r>
    </w:p>
    <w:p w:rsidR="00D817B0" w:rsidRDefault="00D817B0"/>
    <w:p w:rsidR="000F0B4A" w:rsidRPr="005643CF" w:rsidRDefault="000F0B4A" w:rsidP="0083547D">
      <w:pPr>
        <w:pStyle w:val="Paragraphedeliste"/>
        <w:spacing w:line="480" w:lineRule="auto"/>
        <w:ind w:left="1080"/>
        <w:outlineLvl w:val="0"/>
        <w:rPr>
          <w:rFonts w:asciiTheme="majorBidi" w:hAnsiTheme="majorBidi" w:cstheme="majorBidi"/>
          <w:b/>
          <w:bCs/>
          <w:i/>
          <w:iCs/>
          <w:sz w:val="32"/>
          <w:szCs w:val="32"/>
          <w:lang w:val="en-US"/>
        </w:rPr>
      </w:pPr>
      <w:bookmarkStart w:id="0" w:name="_GoBack"/>
      <w:bookmarkEnd w:id="0"/>
      <w:r w:rsidRPr="005643CF">
        <w:rPr>
          <w:rFonts w:asciiTheme="majorBidi" w:hAnsiTheme="majorBidi" w:cstheme="majorBidi"/>
          <w:b/>
          <w:bCs/>
          <w:i/>
          <w:iCs/>
          <w:sz w:val="32"/>
          <w:szCs w:val="32"/>
          <w:lang w:val="en-US"/>
        </w:rPr>
        <w:t>Zebrafish anatomy</w:t>
      </w:r>
    </w:p>
    <w:p w:rsidR="000F0B4A" w:rsidRPr="00DB452E" w:rsidRDefault="000F0B4A" w:rsidP="000F0B4A">
      <w:pPr>
        <w:spacing w:line="480" w:lineRule="auto"/>
        <w:rPr>
          <w:rFonts w:asciiTheme="majorBidi" w:hAnsiTheme="majorBidi" w:cstheme="majorBidi"/>
          <w:lang w:val="en-US"/>
        </w:rPr>
      </w:pPr>
      <w:r w:rsidRPr="00DB452E">
        <w:rPr>
          <w:rFonts w:asciiTheme="majorBidi" w:hAnsiTheme="majorBidi" w:cstheme="majorBidi"/>
          <w:lang w:val="en-US"/>
        </w:rPr>
        <w:t xml:space="preserve">The skeletal system of zebrafish is similar to the tetrapod system with a complex ossified skeleton that contains cartilage, bone and teeth, but no spongy bone and bone marrow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Sct6OVpr","properties":{"formattedCitation":"[3]","plainCitation":"[3]"},"citationItems":[{"id":"mQtgLXUk/n4O92Cr7","uris":["http://zotero.org/users/990395/items/5G62G4TC"],"uri":["http://zotero.org/users/990395/items/5G62G4TC"],"itemData":{"id":"mQtgLXUk/n4O92Cr7","type":"article-journal","title":"Animal models of human disease: zebrafish swim into view","container-title":"Nature Reviews Genetics","page":"353-367","volume":"8","issue":"5","source":"www.nature.com","abstract":"Despite the pre-eminence of the mouse in modelling human disease, several aspects of murine biology limit its routine use in large-scale genetic and therapeutic screening. Many researchers who are interested in an embryologically and genetically tractable disease model have now turned to zebrafish. Zebrafish biology allows ready access to all developmental stages, and the optical clarity of embryos and larvae allow real-time imaging of developing pathologies. Sophisticated mutagenesis and screening strategies on a large scale, and with an economy that is not possible in other vertebrate systems, have generated zebrafish models of a wide variety of human diseases. This Review surveys the achievements and potential of zebrafish for modelling human diseases and for drug discovery and development.","DOI":"10.1038/nrg2091","ISSN":"1471-0056","shortTitle":"Animal models of human disease","journalAbbreviation":"Nat Rev Genet","language":"en","author":[{"family":"Lieschke","given":"Graham J."},{"family":"Currie","given":"Peter D."}],"issued":{"year":2007,"month":5},"accessed":{"year":2013,"month":7,"day":30},"page-first":"353","title-short":"Animal models of human disease","container-title-short":"Nat. Rev. Genet."}}],"schema":"https://github.com/citation-style-language/schema/raw/master/csl-citation.json"} </w:instrText>
      </w:r>
      <w:r w:rsidRPr="00DB452E">
        <w:rPr>
          <w:rFonts w:asciiTheme="majorBidi" w:hAnsiTheme="majorBidi" w:cstheme="majorBidi"/>
          <w:lang w:val="en-US"/>
        </w:rPr>
        <w:fldChar w:fldCharType="separate"/>
      </w:r>
      <w:r w:rsidRPr="00A00ACC">
        <w:rPr>
          <w:rFonts w:ascii="Times New Roman" w:hAnsi="Times New Roman" w:cs="Times New Roman"/>
          <w:lang w:val="en-US"/>
        </w:rPr>
        <w:t>[3]</w:t>
      </w:r>
      <w:r w:rsidRPr="00DB452E">
        <w:rPr>
          <w:rFonts w:asciiTheme="majorBidi" w:hAnsiTheme="majorBidi" w:cstheme="majorBidi"/>
          <w:lang w:val="en-US"/>
        </w:rPr>
        <w:fldChar w:fldCharType="end"/>
      </w:r>
      <w:r w:rsidRPr="00DB452E">
        <w:rPr>
          <w:rFonts w:asciiTheme="majorBidi" w:hAnsiTheme="majorBidi" w:cstheme="majorBidi"/>
          <w:lang w:val="en-US"/>
        </w:rPr>
        <w:t>. In zebrafish, the skeleton can be divided into three parts: the cranium, the axial skeleton with its associated fins, and the fin tail</w:t>
      </w:r>
      <w:r>
        <w:rPr>
          <w:rFonts w:asciiTheme="majorBidi" w:hAnsiTheme="majorBidi" w:cstheme="majorBidi"/>
          <w:lang w:val="en-US"/>
        </w:rPr>
        <w:t xml:space="preserve">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jncnqvnb8","properties":{"formattedCitation":"[8]","plainCitation":"[8]"},"citationItems":[{"id":1819,"uris":["http://zotero.org/users/990395/items/XQCUHQZB"],"uri":["http://zotero.org/users/990395/items/XQCUHQZB"],"itemData":{"id":1819,"type":"article-journal","title":"Developmental morphology of the axial skeleton of the zebrafish, Danio rerio (Ostariophysi: Cyprinidae)","container-title":"Developmental Dynamics","page":"337-357","volume":"228","issue":"3","source":"Wiley Online Library","abstract":"Before our rapidly increasing knowledge of gene interactions can be connected with the morphologic defects in mutant zebrafish, the normal course of skeletal development must be understood. Here, we describe the developmental morphology of the axial skeleton of zebrafish and review it in relation to the morphology of related species. The relative sequence of ossification in the skeleton is described. Two separate centers of development were found in the axial skeleton (Weberian apparatus and caudal fin) in contrast to tetrapods, which have a single anterior center. Slight variation was found in the overall relative timing of development. The extensive ichthyological literature on teleost anatomy and recent genetic data form the basis for our review and interpretation of homologies of various elements of the axial skeleton. Because homology forms the basis for all evolutionary comparisons, these data are critical for integration in evo–devo studies. Developmental Dynamics, 2003. © 2003 Wiley-Liss, Inc.","DOI":"10.1002/dvdy.10387","ISSN":"1097-0177","shortTitle":"Developmental morphology of the axial skeleton of the zebrafish, Danio rerio (Ostariophysi","journalAbbreviation":"Dev. Dyn.","language":"en","author":[{"family":"Bird","given":"Nathan C."},{"family":"Mabee","given":"Paula M."}],"issued":{"date-parts":[["2003",11,1]]}}}],"schema":"https://github.com/citation-style-language/schema/raw/master/csl-citation.json"} </w:instrText>
      </w:r>
      <w:r w:rsidRPr="00DB452E">
        <w:rPr>
          <w:rFonts w:asciiTheme="majorBidi" w:hAnsiTheme="majorBidi" w:cstheme="majorBidi"/>
          <w:lang w:val="en-US"/>
        </w:rPr>
        <w:fldChar w:fldCharType="separate"/>
      </w:r>
      <w:r w:rsidRPr="00520307">
        <w:rPr>
          <w:rFonts w:ascii="Times New Roman" w:hAnsi="Times New Roman" w:cs="Times New Roman"/>
          <w:lang w:val="en-US"/>
        </w:rPr>
        <w:t>[8]</w:t>
      </w:r>
      <w:r w:rsidRPr="00DB452E">
        <w:rPr>
          <w:rFonts w:asciiTheme="majorBidi" w:hAnsiTheme="majorBidi" w:cstheme="majorBidi"/>
          <w:lang w:val="en-US"/>
        </w:rPr>
        <w:fldChar w:fldCharType="end"/>
      </w:r>
      <w:r w:rsidRPr="00DB452E">
        <w:rPr>
          <w:rFonts w:asciiTheme="majorBidi" w:hAnsiTheme="majorBidi" w:cstheme="majorBidi"/>
          <w:lang w:val="en-US"/>
        </w:rPr>
        <w:t xml:space="preserve">. The skull of the adult zebrafish is composed of 73 cranial bones, including 29 dermal bones, one membrane bone and 43 cartilage bones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ZOTERO_TEMP </w:instrText>
      </w:r>
      <w:r w:rsidRPr="00DB452E">
        <w:rPr>
          <w:rFonts w:asciiTheme="majorBidi" w:hAnsiTheme="majorBidi" w:cstheme="majorBidi"/>
          <w:lang w:val="en-US"/>
        </w:rPr>
        <w:fldChar w:fldCharType="separate"/>
      </w:r>
      <w:r w:rsidRPr="00DB452E">
        <w:rPr>
          <w:rFonts w:asciiTheme="majorBidi" w:hAnsiTheme="majorBidi" w:cstheme="majorBidi"/>
          <w:lang w:val="en-US"/>
        </w:rPr>
        <w:t>(Cubbage and Mabee, 1996; Eames et al., 2013)</w:t>
      </w:r>
      <w:r w:rsidRPr="00DB452E">
        <w:rPr>
          <w:rFonts w:asciiTheme="majorBidi" w:hAnsiTheme="majorBidi" w:cstheme="majorBidi"/>
          <w:lang w:val="en-US"/>
        </w:rPr>
        <w:fldChar w:fldCharType="end"/>
      </w:r>
      <w:r w:rsidRPr="00DB452E">
        <w:rPr>
          <w:rFonts w:asciiTheme="majorBidi" w:hAnsiTheme="majorBidi" w:cstheme="majorBidi"/>
          <w:lang w:val="en-US"/>
        </w:rPr>
        <w:t xml:space="preserve">. The first bones that begin to form during development are in the cranium. These bones form after 5 </w:t>
      </w:r>
      <w:r>
        <w:rPr>
          <w:rFonts w:asciiTheme="majorBidi" w:hAnsiTheme="majorBidi" w:cstheme="majorBidi"/>
          <w:lang w:val="en-US"/>
        </w:rPr>
        <w:t>days post fertilization (</w:t>
      </w:r>
      <w:proofErr w:type="spellStart"/>
      <w:r w:rsidRPr="00DB452E">
        <w:rPr>
          <w:rFonts w:asciiTheme="majorBidi" w:hAnsiTheme="majorBidi" w:cstheme="majorBidi"/>
          <w:lang w:val="en-US"/>
        </w:rPr>
        <w:t>dpf</w:t>
      </w:r>
      <w:proofErr w:type="spellEnd"/>
      <w:r>
        <w:rPr>
          <w:rFonts w:asciiTheme="majorBidi" w:hAnsiTheme="majorBidi" w:cstheme="majorBidi"/>
          <w:lang w:val="en-US"/>
        </w:rPr>
        <w:t>)</w:t>
      </w:r>
      <w:r w:rsidRPr="00DB452E">
        <w:rPr>
          <w:rFonts w:asciiTheme="majorBidi" w:hAnsiTheme="majorBidi" w:cstheme="majorBidi"/>
          <w:lang w:val="en-US"/>
        </w:rPr>
        <w:t xml:space="preserve">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1mohc1sg4j","properties":{"formattedCitation":"[10,12]","plainCitation":"[10,12]"},"citationItems":[{"id":1707,"uris":["http://zotero.org/users/990395/items/PQB2BI7W"],"uri":["http://zotero.org/users/990395/items/PQB2BI7W"],"itemData":{"id":1707,"type":"article-journal","title":"Visualizing Normal and Defective Bone Development in Zebrafish Embryos Using the Fluorescent Chromophore Calcein","container-title":"Developmental Biology","page":"239-246","volume":"238","issue":"2","source":"ScienceDirect","abstract":"Zebrafish have recently become a model of choice among developmental biologists. This unique model enables both modern molecular and genetic studies to be carried out to identify genes involved in a wide variety of developmental processes. The success of the genetic approach depends largely on the application of an easy and effective screening method to identify interesting mutants. In order to develop a method for visualizing skeletal structures in zebrafish embryos that would be suitable for screening skeletal mutants, we investigated the use of the fluorescent chromophore calcein, which binds specifically to calcified skeletal structures. By using this method, we followed the development of the skeletal structures in zebrafish embryos from day 1 to day 21 postfertilization, and analyzed the effect of bone morphogenetic protein-2 (BMP2) on axial skeleton development. We found the development of the calcified skeletal structure to appear in a progressive fashion from head to tail. Calcified structures in the head (i.e., the jaw) developed first, which were then followed by the axial skeleton in the trunk. Interesting to note was that there appeared to be two domains in the calcification of vertebrae within the axial skeleton. The first three vertebrae were in the first domain; the rest being in the second domain. Compared with Alcian blue staining, we found that calcein staining indeed labels calcified skeletal structures, and, moreover, it is a more sensitive and inclusive method for visualizing skeletal structures. To determine whether calcein staining could also be used to detect abnormal bone development, we ectopically expressed BMP2 in zebrafish notochord cells. We demonstrated that ectopic expression of BMP2 in notochord cells inhibited the development of the axial skeleton. Together, these results clearly demonstrated the sensitivity of calcein staining for visualizing bone structures in developing zebrafish embryos and its effectiveness for screening for mutants that have bone structure defects.","DOI":"10.1006/dbio.2001.0390","ISSN":"0012-1606","journalAbbreviation":"Developmental Biology","author":[{"family":"Du","given":"Shao Jun"},{"family":"Frenkel","given":"Victor"},{"family":"Kindschi","given":"Greg"},{"family":"Zohar","given":"Yonathan"}],"issued":{"date-parts":[["2001",10,15]]}}},{"id":2044,"uris":["http://zotero.org/users/990395/items/9U3NUMS3"],"uri":["http://zotero.org/users/990395/items/9U3NUMS3"],"itemData":{"id":2044,"type":"article-journal","title":"Development of cartilage and bone","container-title":"Methods in Cell Biology","page":"415-436","volume":"76","source":"PubMed","ISSN":"0091-679X","note":"PMID: 15602885","journalAbbreviation":"Methods Cell Biol.","language":"eng","author":[{"family":"Javidan","given":"Yashar"},{"family":"Schilling","given":"Thomas F."}],"issued":{"date-parts":[["2004"]]}}}],"schema":"https://github.com/citation-style-language/schema/raw/master/csl-citation.json"} </w:instrText>
      </w:r>
      <w:r w:rsidRPr="00DB452E">
        <w:rPr>
          <w:rFonts w:asciiTheme="majorBidi" w:hAnsiTheme="majorBidi" w:cstheme="majorBidi"/>
          <w:lang w:val="en-US"/>
        </w:rPr>
        <w:fldChar w:fldCharType="separate"/>
      </w:r>
      <w:r w:rsidRPr="004B2A59">
        <w:rPr>
          <w:rFonts w:ascii="Times New Roman" w:hAnsi="Times New Roman" w:cs="Times New Roman"/>
          <w:lang w:val="en-US"/>
        </w:rPr>
        <w:t>[10,12]</w:t>
      </w:r>
      <w:r w:rsidRPr="00DB452E">
        <w:rPr>
          <w:rFonts w:asciiTheme="majorBidi" w:hAnsiTheme="majorBidi" w:cstheme="majorBidi"/>
          <w:lang w:val="en-US"/>
        </w:rPr>
        <w:fldChar w:fldCharType="end"/>
      </w:r>
      <w:r>
        <w:rPr>
          <w:rFonts w:asciiTheme="majorBidi" w:hAnsiTheme="majorBidi" w:cstheme="majorBidi"/>
          <w:lang w:val="en-US"/>
        </w:rPr>
        <w:t xml:space="preserve"> (</w:t>
      </w:r>
      <w:r w:rsidRPr="007D03C6">
        <w:rPr>
          <w:rFonts w:asciiTheme="majorBidi" w:hAnsiTheme="majorBidi" w:cstheme="majorBidi"/>
          <w:b/>
          <w:bCs/>
          <w:lang w:val="en-US"/>
        </w:rPr>
        <w:t>S1</w:t>
      </w:r>
      <w:r w:rsidRPr="009B4C96">
        <w:rPr>
          <w:rFonts w:asciiTheme="majorBidi" w:hAnsiTheme="majorBidi" w:cstheme="majorBidi"/>
          <w:b/>
          <w:bCs/>
          <w:lang w:val="en-US"/>
        </w:rPr>
        <w:t xml:space="preserve"> </w:t>
      </w:r>
      <w:r w:rsidRPr="007D03C6">
        <w:rPr>
          <w:rFonts w:asciiTheme="majorBidi" w:hAnsiTheme="majorBidi" w:cstheme="majorBidi"/>
          <w:b/>
          <w:bCs/>
          <w:lang w:val="en-US"/>
        </w:rPr>
        <w:t>Fig.</w:t>
      </w:r>
      <w:r>
        <w:rPr>
          <w:rFonts w:asciiTheme="majorBidi" w:hAnsiTheme="majorBidi" w:cstheme="majorBidi"/>
          <w:lang w:val="en-US"/>
        </w:rPr>
        <w:t>)</w:t>
      </w:r>
      <w:r w:rsidRPr="00DB452E">
        <w:rPr>
          <w:rFonts w:asciiTheme="majorBidi" w:hAnsiTheme="majorBidi" w:cstheme="majorBidi"/>
          <w:lang w:val="en-US"/>
        </w:rPr>
        <w:t xml:space="preserve">. In the cranium, the zebrafish </w:t>
      </w:r>
      <w:r>
        <w:rPr>
          <w:rFonts w:asciiTheme="majorBidi" w:hAnsiTheme="majorBidi" w:cstheme="majorBidi"/>
          <w:lang w:val="en-US"/>
        </w:rPr>
        <w:t>has</w:t>
      </w:r>
      <w:r w:rsidRPr="00DB452E">
        <w:rPr>
          <w:rFonts w:asciiTheme="majorBidi" w:hAnsiTheme="majorBidi" w:cstheme="majorBidi"/>
          <w:lang w:val="en-US"/>
        </w:rPr>
        <w:t xml:space="preserve"> three pairs of otoliths</w:t>
      </w:r>
      <w:r>
        <w:rPr>
          <w:rFonts w:asciiTheme="majorBidi" w:hAnsiTheme="majorBidi" w:cstheme="majorBidi"/>
          <w:lang w:val="en-US"/>
        </w:rPr>
        <w:t>:</w:t>
      </w:r>
      <w:r w:rsidRPr="00DB452E">
        <w:rPr>
          <w:rFonts w:asciiTheme="majorBidi" w:hAnsiTheme="majorBidi" w:cstheme="majorBidi"/>
          <w:lang w:val="en-US"/>
        </w:rPr>
        <w:t xml:space="preserve"> the </w:t>
      </w:r>
      <w:proofErr w:type="spellStart"/>
      <w:r w:rsidRPr="00DB452E">
        <w:rPr>
          <w:rFonts w:asciiTheme="majorBidi" w:hAnsiTheme="majorBidi" w:cstheme="majorBidi"/>
          <w:lang w:val="en-US"/>
        </w:rPr>
        <w:t>sagitta</w:t>
      </w:r>
      <w:proofErr w:type="spellEnd"/>
      <w:r>
        <w:rPr>
          <w:rFonts w:asciiTheme="majorBidi" w:hAnsiTheme="majorBidi" w:cstheme="majorBidi"/>
          <w:lang w:val="en-US"/>
        </w:rPr>
        <w:t xml:space="preserve">, lapillus and </w:t>
      </w:r>
      <w:proofErr w:type="spellStart"/>
      <w:r>
        <w:rPr>
          <w:rFonts w:asciiTheme="majorBidi" w:hAnsiTheme="majorBidi" w:cstheme="majorBidi"/>
          <w:lang w:val="en-US"/>
        </w:rPr>
        <w:t>asteriscus</w:t>
      </w:r>
      <w:proofErr w:type="spellEnd"/>
      <w:r>
        <w:rPr>
          <w:rFonts w:asciiTheme="majorBidi" w:hAnsiTheme="majorBidi" w:cstheme="majorBidi"/>
          <w:lang w:val="en-US"/>
        </w:rPr>
        <w:t xml:space="preserve"> (</w:t>
      </w:r>
      <w:r w:rsidRPr="0071686A">
        <w:rPr>
          <w:rFonts w:asciiTheme="majorBidi" w:hAnsiTheme="majorBidi" w:cstheme="majorBidi"/>
          <w:b/>
          <w:bCs/>
          <w:lang w:val="en-US"/>
        </w:rPr>
        <w:t>Video 1</w:t>
      </w:r>
      <w:r>
        <w:rPr>
          <w:rFonts w:asciiTheme="majorBidi" w:hAnsiTheme="majorBidi" w:cstheme="majorBidi"/>
          <w:lang w:val="en-US"/>
        </w:rPr>
        <w:t xml:space="preserve">). </w:t>
      </w:r>
      <w:r w:rsidRPr="00DB452E">
        <w:rPr>
          <w:rFonts w:asciiTheme="majorBidi" w:hAnsiTheme="majorBidi" w:cstheme="majorBidi"/>
          <w:lang w:val="en-US"/>
        </w:rPr>
        <w:t xml:space="preserve">The lapillus was described as essential for the survival of the fish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2n0t24c0e4","properties":{"formattedCitation":"[30]","plainCitation":"[30]"},"citationItems":[{"id":2022,"uris":["http://zotero.org/users/990395/items/RJP4SMVG"],"uri":["http://zotero.org/users/990395/items/RJP4SMVG"],"itemData":{"id":2022,"type":"article-journal","title":"Development of utricular otoliths, but not saccular otoliths, is necessary for vestibular function and survival in zebrafish","container-title":"Journal of Neurobiology","page":"329-337","volume":"43","issue":"4","source":"Wiley Online Library","abstract":"We have been studying the consequences of embryonic vestibular dysfunction caused by the monolith (mnl) mutation in zebrafish. mnl is a dominant mutation that specifically inhibits formation of utricular otoliths. However, briefly immobilizing mnl/mnl embryos in agarose with the otic vesicle orientated at certain angles selectively induces or prevents formation of utricular and/or saccular otoliths. With this noninvasive technique, we generated six phenotypic classes of mnl/mnl mutants, designated S-S, U-U, U-S, S-US, U-US, and US-US, depending on which otoliths are present on each side (U, utricular otolith; S, saccular otolith). All mnl/mnl larvae survived through day 10 of development. Thereafter, S-S larvae showed a rapid decline, probably because of starvation, and none survived to adulthood. Survival rates in all other classes of mnl/mnl larvae (those having at least one utricular otolith) were close to normal. The presence or absence of utricular otoliths also correlated with vestibular function during early larval development, as measured by three criteria: First, unlike wild-type larvae, S-S mutant larvae showed almost no detectable counter-rotation of the eyes when tilted tail up or tail down. Second, 95% of S-S mutant larvae never acquired the ability to maintain a balanced dorsal-up posture. Third, although most wild-type larvae responded to gentle prodding by swimming in a straight line, S-S larvae responded by swimming in rapid circles, showing sudden and frequent changes in direction (“zigzagging”), and/or rolling and spiraling. All other phenotypic classes of mnl/mnl larvae behaved normally in these assays. These data demonstrate that bilateral loss of utricular otoliths disrupts the ability to sense gravity, severely impairs balance and motor coordination, and is invariably lethal. The presence of a utricular otolith in at least one inner ear is necessary and sufficient for vestibular function and survival. In contrast, saccular otoliths are dispensable for these functions. © 2000 John Wiley &amp; Sons, Inc. J Neurobiol 43: 329–337, 2000","DOI":"10.1002/1097-4695(20000615)43:4&lt;329::AID-NEU2&gt;3.0.CO;2-H","ISSN":"1097-4695","journalAbbreviation":"J. Neurobiol.","language":"en","author":[{"family":"Riley","given":"Bruce B."},{"family":"Moorman","given":"Stephen J."}],"issued":{"date-parts":[["2000",6,15]]}}}],"schema":"https://github.com/citation-style-language/schema/raw/master/csl-citation.json"} </w:instrText>
      </w:r>
      <w:r w:rsidRPr="00DB452E">
        <w:rPr>
          <w:rFonts w:asciiTheme="majorBidi" w:hAnsiTheme="majorBidi" w:cstheme="majorBidi"/>
          <w:lang w:val="en-US"/>
        </w:rPr>
        <w:fldChar w:fldCharType="separate"/>
      </w:r>
      <w:r w:rsidRPr="006728EF">
        <w:rPr>
          <w:rFonts w:ascii="Times New Roman" w:hAnsi="Times New Roman" w:cs="Times New Roman"/>
          <w:lang w:val="en-US"/>
        </w:rPr>
        <w:t>[30]</w:t>
      </w:r>
      <w:r w:rsidRPr="00DB452E">
        <w:rPr>
          <w:rFonts w:asciiTheme="majorBidi" w:hAnsiTheme="majorBidi" w:cstheme="majorBidi"/>
          <w:lang w:val="en-US"/>
        </w:rPr>
        <w:fldChar w:fldCharType="end"/>
      </w:r>
      <w:r w:rsidRPr="00DB452E">
        <w:rPr>
          <w:rFonts w:asciiTheme="majorBidi" w:hAnsiTheme="majorBidi" w:cstheme="majorBidi"/>
          <w:lang w:val="en-US"/>
        </w:rPr>
        <w:t xml:space="preserve">. The </w:t>
      </w:r>
      <w:proofErr w:type="spellStart"/>
      <w:r w:rsidRPr="00DB452E">
        <w:rPr>
          <w:rFonts w:asciiTheme="majorBidi" w:hAnsiTheme="majorBidi" w:cstheme="majorBidi"/>
          <w:lang w:val="en-US"/>
        </w:rPr>
        <w:t>sagitta</w:t>
      </w:r>
      <w:proofErr w:type="spellEnd"/>
      <w:r w:rsidRPr="00DB452E">
        <w:rPr>
          <w:rFonts w:asciiTheme="majorBidi" w:hAnsiTheme="majorBidi" w:cstheme="majorBidi"/>
          <w:lang w:val="en-US"/>
        </w:rPr>
        <w:t xml:space="preserve"> and lapillus are first formed around 19 -22 hours post fertilization (</w:t>
      </w:r>
      <w:proofErr w:type="spellStart"/>
      <w:r w:rsidRPr="00DB452E">
        <w:rPr>
          <w:rFonts w:asciiTheme="majorBidi" w:hAnsiTheme="majorBidi" w:cstheme="majorBidi"/>
          <w:lang w:val="en-US"/>
        </w:rPr>
        <w:t>hpf</w:t>
      </w:r>
      <w:proofErr w:type="spellEnd"/>
      <w:r w:rsidRPr="00DB452E">
        <w:rPr>
          <w:rFonts w:asciiTheme="majorBidi" w:hAnsiTheme="majorBidi" w:cstheme="majorBidi"/>
          <w:lang w:val="en-US"/>
        </w:rPr>
        <w:t>)</w:t>
      </w:r>
      <w:r w:rsidRPr="00DB452E">
        <w:rPr>
          <w:rStyle w:val="Appelnotedebasdep"/>
          <w:rFonts w:asciiTheme="majorBidi" w:hAnsiTheme="majorBidi" w:cstheme="majorBidi"/>
          <w:lang w:val="en-US"/>
        </w:rPr>
        <w:t xml:space="preserve"> </w:t>
      </w:r>
      <w:r w:rsidRPr="00DB452E">
        <w:rPr>
          <w:rStyle w:val="Appelnotedebasdep"/>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2k615s6u9a","properties":{"formattedCitation":"[31]","plainCitation":"[31]"},"citationItems":[{"id":2053,"uris":["http://zotero.org/users/990395/items/KNR45T99"],"uri":["http://zotero.org/users/990395/items/KNR45T99"],"itemData":{"id":2053,"type":"article-journal","title":"Early ear development in the embryo of the Zebrafish, Danio rerio","container-title":"The Journal of Comparative Neurology","page":"113-128","volume":"365","issue":"1","source":"Wiley Online Library","abstract":"The zebrafish provides an important model for vertebrate inner ear development. The otic placode becomes visible at </w:instrText>
      </w:r>
      <w:r>
        <w:rPr>
          <w:rFonts w:ascii="Cambria Math" w:hAnsi="Cambria Math" w:cs="Cambria Math"/>
          <w:lang w:val="en-US"/>
        </w:rPr>
        <w:instrText>∼</w:instrText>
      </w:r>
      <w:r>
        <w:rPr>
          <w:rFonts w:asciiTheme="majorBidi" w:hAnsiTheme="majorBidi" w:cstheme="majorBidi"/>
          <w:lang w:val="en-US"/>
        </w:rPr>
        <w:instrText>16 hours (at 28.5</w:instrText>
      </w:r>
      <w:r>
        <w:rPr>
          <w:rFonts w:ascii="Times New Roman" w:hAnsi="Times New Roman" w:cs="Times New Roman"/>
          <w:lang w:val="en-US"/>
        </w:rPr>
        <w:instrText>°</w:instrText>
      </w:r>
      <w:r>
        <w:rPr>
          <w:rFonts w:asciiTheme="majorBidi" w:hAnsiTheme="majorBidi" w:cstheme="majorBidi"/>
          <w:lang w:val="en-US"/>
        </w:rPr>
        <w:instrText xml:space="preserve">C) and forms a vesicle with a lumen by cavitation at </w:instrText>
      </w:r>
      <w:r>
        <w:rPr>
          <w:rFonts w:ascii="Cambria Math" w:hAnsi="Cambria Math" w:cs="Cambria Math"/>
          <w:lang w:val="en-US"/>
        </w:rPr>
        <w:instrText>∼</w:instrText>
      </w:r>
      <w:r>
        <w:rPr>
          <w:rFonts w:asciiTheme="majorBidi" w:hAnsiTheme="majorBidi" w:cstheme="majorBidi"/>
          <w:lang w:val="en-US"/>
        </w:rPr>
        <w:instrText xml:space="preserve">18 hours. Two otoliths appear in the lumen by 19.5 hours, and at about 24 hours the first sensory hair cells are seen, grouped in two small patches, one beneath each otolith, corresponding to future maculae. Staining with fluorescent phalloidin reveals 10–20 hair cells in each macula by 42 hours; between 3 days and 7 days the numbers grow to </w:instrText>
      </w:r>
      <w:r>
        <w:rPr>
          <w:rFonts w:ascii="Cambria Math" w:hAnsi="Cambria Math" w:cs="Cambria Math"/>
          <w:lang w:val="en-US"/>
        </w:rPr>
        <w:instrText>∼</w:instrText>
      </w:r>
      <w:r>
        <w:rPr>
          <w:rFonts w:asciiTheme="majorBidi" w:hAnsiTheme="majorBidi" w:cstheme="majorBidi"/>
          <w:lang w:val="en-US"/>
        </w:rPr>
        <w:instrText xml:space="preserve">80 per macula. Neurons of the statoacoustic ganglion are first visible by staining with HNK-1 antibody at about 24 hours. Serial sections and time-lapse films show that the neuronal precursors originate by delamination from the ventral face of the otocyst; the peak period of delamination is from 22 hours to 30 hours. The system of semicircular canals forms between 42 hours and 72 hours by outgrowth of protrusions from the walls of the otocyst to form pillars of tissue spanning the lumen. Three further clusters of hair cells also become visible in this period, forming the three cristae. Thus, by the end of the first week, all key components of the ear are present. Subsequent growth produces thousands more hair cells; additional neurons probably derive from proliferation of neuronal precursors within the ganglion. Although the timetable is species-specific, the principles of inner ear development in the zebrafish seem to be the same as in other vertebrates. © 1996 Wiley-Liss, Inc.","DOI":"10.1002/(SICI)1096-9861(19960129)365:1&lt;113::AID-CNE9&gt;3.0.CO;2-6","ISSN":"1096-9861","journalAbbreviation":"J. Comp. Neurol.","language":"en","author":[{"family":"Haddon","given":"Catherine"},{"family":"Lewis","given":"Julian"}],"issued":{"date-parts":[["1996",1,29]]}}}],"schema":"https://github.com/citation-style-language/schema/raw/master/csl-citation.json"} </w:instrText>
      </w:r>
      <w:r w:rsidRPr="00DB452E">
        <w:rPr>
          <w:rStyle w:val="Appelnotedebasdep"/>
          <w:rFonts w:asciiTheme="majorBidi" w:hAnsiTheme="majorBidi" w:cstheme="majorBidi"/>
          <w:lang w:val="en-US"/>
        </w:rPr>
        <w:fldChar w:fldCharType="separate"/>
      </w:r>
      <w:r w:rsidRPr="006728EF">
        <w:rPr>
          <w:rFonts w:ascii="Times New Roman" w:hAnsi="Times New Roman" w:cs="Times New Roman"/>
          <w:lang w:val="en-US"/>
        </w:rPr>
        <w:t>[31]</w:t>
      </w:r>
      <w:r w:rsidRPr="00DB452E">
        <w:rPr>
          <w:rStyle w:val="Appelnotedebasdep"/>
          <w:rFonts w:asciiTheme="majorBidi" w:hAnsiTheme="majorBidi" w:cstheme="majorBidi"/>
          <w:lang w:val="en-US"/>
        </w:rPr>
        <w:fldChar w:fldCharType="end"/>
      </w:r>
      <w:r w:rsidRPr="00DB452E">
        <w:rPr>
          <w:rFonts w:asciiTheme="majorBidi" w:hAnsiTheme="majorBidi" w:cstheme="majorBidi"/>
          <w:lang w:val="en-US"/>
        </w:rPr>
        <w:t xml:space="preserve">, whereas the </w:t>
      </w:r>
      <w:proofErr w:type="spellStart"/>
      <w:r w:rsidRPr="00DB452E">
        <w:rPr>
          <w:rFonts w:asciiTheme="majorBidi" w:hAnsiTheme="majorBidi" w:cstheme="majorBidi"/>
          <w:lang w:val="en-US"/>
        </w:rPr>
        <w:t>asteriscus</w:t>
      </w:r>
      <w:proofErr w:type="spellEnd"/>
      <w:r w:rsidRPr="00DB452E">
        <w:rPr>
          <w:rFonts w:asciiTheme="majorBidi" w:hAnsiTheme="majorBidi" w:cstheme="majorBidi"/>
          <w:lang w:val="en-US"/>
        </w:rPr>
        <w:t xml:space="preserve"> is formed later (11-12 </w:t>
      </w:r>
      <w:proofErr w:type="spellStart"/>
      <w:r w:rsidRPr="00DB452E">
        <w:rPr>
          <w:rFonts w:asciiTheme="majorBidi" w:hAnsiTheme="majorBidi" w:cstheme="majorBidi"/>
          <w:lang w:val="en-US"/>
        </w:rPr>
        <w:t>dpf</w:t>
      </w:r>
      <w:proofErr w:type="spellEnd"/>
      <w:r w:rsidRPr="00DB452E">
        <w:rPr>
          <w:rFonts w:asciiTheme="majorBidi" w:hAnsiTheme="majorBidi" w:cstheme="majorBidi"/>
          <w:lang w:val="en-US"/>
        </w:rPr>
        <w:t>)</w:t>
      </w:r>
      <w:r>
        <w:rPr>
          <w:rFonts w:asciiTheme="majorBidi" w:hAnsiTheme="majorBidi" w:cstheme="majorBidi"/>
          <w:lang w:val="en-US"/>
        </w:rPr>
        <w:t xml:space="preserve">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1bbo96riup","properties":{"formattedCitation":"[32]","plainCitation":"[32]"},"citationItems":[{"id":2062,"uris":["http://zotero.org/users/990395/items/8QKGET4V"],"uri":["http://zotero.org/users/990395/items/8QKGET4V"],"itemData":{"id":2062,"type":"article-journal","title":"Atlas of the developing inner ear in zebrafish","container-title":"Developmental Dynamics","page":"536-543","volume":"223","issue":"4","source":"Wiley Online Library","abstract":"This report provides a description of the normal developing inner ear of the zebrafish, Danio rerio, with special focus on the pars inferior. Zebrafish specimens, ranging in age from 3 to 30 days postfertilization (dpf), were processed for standard histologic sections or with a paint-fill method to show three-dimensional morphogenesis of the membranous labyrinth. Adult zebrafish (age 2 years) were also processed for inner ear paint-fills. Although development of the semicircular canals occurs rapidly (by 3 dpf), the pars inferior develops more gradually during days 5–20 postfertilization. A rudimentary endolymphatic duct emerges by 8 dpf. Differentiated hair cells of the lagenar macula are evident by 15 dpf, in a chamber located lateral and posterior to the saccule. By 20 dpf, the saccule itself is separated from the utricle, but remains connected by means of the utriculosaccular foramen. The maculae neglectae, each with differentiated hair cells, lie on the floor of the utricle near this foramen. A medial connection between the sacculi of right and left ears, the transverse canal, is also complete by 20 dpf. A ridge of mesenchyme, previously undescribed, bisects the saccule in zebrafish fry at 20–30 dpf. The images in the paint-fill atlas should provide a baseline for future studies of mutant zebrafish ears. © 2002 Wiley-Liss, Inc.","DOI":"10.1002/dvdy.10062","ISSN":"1097-0177","journalAbbreviation":"Dev. Dyn.","language":"en","author":[{"family":"Bever","given":"Michele Miller"},{"family":"Fekete","given":"Donna M."}],"issued":{"date-parts":[["2002",4,1]]}}}],"schema":"https://github.com/citation-style-language/schema/raw/master/csl-citation.json"} </w:instrText>
      </w:r>
      <w:r w:rsidRPr="00DB452E">
        <w:rPr>
          <w:rFonts w:asciiTheme="majorBidi" w:hAnsiTheme="majorBidi" w:cstheme="majorBidi"/>
          <w:lang w:val="en-US"/>
        </w:rPr>
        <w:fldChar w:fldCharType="separate"/>
      </w:r>
      <w:r w:rsidRPr="006728EF">
        <w:rPr>
          <w:rFonts w:ascii="Times New Roman" w:hAnsi="Times New Roman" w:cs="Times New Roman"/>
          <w:lang w:val="en-US"/>
        </w:rPr>
        <w:t>[32]</w:t>
      </w:r>
      <w:r w:rsidRPr="00DB452E">
        <w:rPr>
          <w:rFonts w:asciiTheme="majorBidi" w:hAnsiTheme="majorBidi" w:cstheme="majorBidi"/>
          <w:lang w:val="en-US"/>
        </w:rPr>
        <w:fldChar w:fldCharType="end"/>
      </w:r>
      <w:r w:rsidRPr="00DB452E">
        <w:rPr>
          <w:rFonts w:asciiTheme="majorBidi" w:hAnsiTheme="majorBidi" w:cstheme="majorBidi"/>
          <w:lang w:val="en-US"/>
        </w:rPr>
        <w:t>.</w:t>
      </w:r>
      <w:r>
        <w:rPr>
          <w:rFonts w:asciiTheme="majorBidi" w:hAnsiTheme="majorBidi" w:cstheme="majorBidi"/>
          <w:lang w:val="en-US"/>
        </w:rPr>
        <w:t xml:space="preserve"> The three pairs of otoliths differ in their calcium carbonate mineral polymorphs: while the </w:t>
      </w:r>
      <w:proofErr w:type="spellStart"/>
      <w:r>
        <w:rPr>
          <w:rFonts w:asciiTheme="majorBidi" w:hAnsiTheme="majorBidi" w:cstheme="majorBidi"/>
          <w:lang w:val="en-US"/>
        </w:rPr>
        <w:t>sagitta</w:t>
      </w:r>
      <w:proofErr w:type="spellEnd"/>
      <w:r>
        <w:rPr>
          <w:rFonts w:asciiTheme="majorBidi" w:hAnsiTheme="majorBidi" w:cstheme="majorBidi"/>
          <w:lang w:val="en-US"/>
        </w:rPr>
        <w:t xml:space="preserve"> and lapillus are </w:t>
      </w:r>
      <w:r w:rsidRPr="00DB452E">
        <w:rPr>
          <w:rFonts w:asciiTheme="majorBidi" w:hAnsiTheme="majorBidi" w:cstheme="majorBidi"/>
          <w:lang w:val="en-US"/>
        </w:rPr>
        <w:t xml:space="preserve">composed of aragonite, the </w:t>
      </w:r>
      <w:proofErr w:type="spellStart"/>
      <w:r w:rsidRPr="00DB452E">
        <w:rPr>
          <w:rFonts w:asciiTheme="majorBidi" w:hAnsiTheme="majorBidi" w:cstheme="majorBidi"/>
          <w:lang w:val="en-US"/>
        </w:rPr>
        <w:t>asteriscus</w:t>
      </w:r>
      <w:proofErr w:type="spellEnd"/>
      <w:r>
        <w:rPr>
          <w:rFonts w:asciiTheme="majorBidi" w:hAnsiTheme="majorBidi" w:cstheme="majorBidi"/>
          <w:lang w:val="en-US"/>
        </w:rPr>
        <w:t xml:space="preserve"> is</w:t>
      </w:r>
      <w:r w:rsidRPr="00DB452E">
        <w:rPr>
          <w:rFonts w:asciiTheme="majorBidi" w:hAnsiTheme="majorBidi" w:cstheme="majorBidi"/>
          <w:lang w:val="en-US"/>
        </w:rPr>
        <w:t xml:space="preserve"> composed of </w:t>
      </w:r>
      <w:proofErr w:type="spellStart"/>
      <w:r w:rsidRPr="00DB452E">
        <w:rPr>
          <w:rFonts w:asciiTheme="majorBidi" w:hAnsiTheme="majorBidi" w:cstheme="majorBidi"/>
          <w:lang w:val="en-US"/>
        </w:rPr>
        <w:t>vaterite</w:t>
      </w:r>
      <w:proofErr w:type="spellEnd"/>
      <w:r w:rsidRPr="00DB452E">
        <w:rPr>
          <w:rFonts w:asciiTheme="majorBidi" w:hAnsiTheme="majorBidi" w:cstheme="majorBidi"/>
          <w:lang w:val="en-US"/>
        </w:rPr>
        <w:t xml:space="preserve">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{"citationID":"5s3d7ig5n","properties":{"formattedCitation":"[33]","plainCitation":"[33]"},"citationItems":[{"id":411,"uris":["http://zotero.org/users/990395/items/EK9BA8XX"],"uri":["http://zotero.org/users/990395/items/EK9BA8XX"],"itemData":{"id":411,"type":"book","title":"On Biomineralization","publisher":"Oxford University Press","number-of-pages":"338","source":"Google Books","abstract":"Focusing on the basic principles of mineral formation by organisms, this comprehensive volume explores questions that relate to a wide variety of fields, from biology and biochemistry, to paleontology, geology, and medical research. Preserved fossils are used to date geological deposits and archaeological artifacts. Materials scientists investigate mineralized tissues to determine the design principles used by organisms to form strong materials. Many medical problems are also associated with normal and pathological mineralization. Lowenstam, the pioneer researcher in biomineralization, and Weiner discuss the basic principles of mineral formation by organisms and compare various mineralization processes. Reference tables listing all known cases in which organisms form minerals are included.","ISBN":"978-0-19-504977-0","language":"en","author":[{"family":"Lowenstam","given":"Heinz Adolf"},{"family":"Weiner","given":"Stephen"}],"issued":{"date-parts":[["1989",4,6]]}}}],"schema":"https://github.com/citation-style-language/schema/raw/master/csl-citation.json"} </w:instrText>
      </w:r>
      <w:r w:rsidRPr="00DB452E">
        <w:rPr>
          <w:rFonts w:asciiTheme="majorBidi" w:hAnsiTheme="majorBidi" w:cstheme="majorBidi"/>
          <w:lang w:val="en-US"/>
        </w:rPr>
        <w:fldChar w:fldCharType="separate"/>
      </w:r>
      <w:r w:rsidRPr="006728EF">
        <w:rPr>
          <w:rFonts w:ascii="Times New Roman" w:hAnsi="Times New Roman" w:cs="Times New Roman"/>
          <w:lang w:val="en-US"/>
        </w:rPr>
        <w:t>[33]</w:t>
      </w:r>
      <w:r w:rsidRPr="00DB452E">
        <w:rPr>
          <w:rFonts w:asciiTheme="majorBidi" w:hAnsiTheme="majorBidi" w:cstheme="majorBidi"/>
          <w:lang w:val="en-US"/>
        </w:rPr>
        <w:fldChar w:fldCharType="end"/>
      </w:r>
      <w:r w:rsidRPr="00DB452E">
        <w:rPr>
          <w:rFonts w:asciiTheme="majorBidi" w:hAnsiTheme="majorBidi" w:cstheme="majorBidi"/>
          <w:lang w:val="en-US"/>
        </w:rPr>
        <w:t>. The</w:t>
      </w:r>
      <w:r>
        <w:rPr>
          <w:rFonts w:asciiTheme="majorBidi" w:hAnsiTheme="majorBidi" w:cstheme="majorBidi"/>
          <w:lang w:val="en-US"/>
        </w:rPr>
        <w:t xml:space="preserve"> aragonite and </w:t>
      </w:r>
      <w:proofErr w:type="spellStart"/>
      <w:r>
        <w:rPr>
          <w:rFonts w:asciiTheme="majorBidi" w:hAnsiTheme="majorBidi" w:cstheme="majorBidi"/>
          <w:lang w:val="en-US"/>
        </w:rPr>
        <w:t>vaterite</w:t>
      </w:r>
      <w:proofErr w:type="spellEnd"/>
      <w:r>
        <w:rPr>
          <w:rFonts w:asciiTheme="majorBidi" w:hAnsiTheme="majorBidi" w:cstheme="majorBidi"/>
          <w:lang w:val="en-US"/>
        </w:rPr>
        <w:t xml:space="preserve"> minerals </w:t>
      </w:r>
      <w:r w:rsidRPr="00DB452E">
        <w:rPr>
          <w:rFonts w:asciiTheme="majorBidi" w:hAnsiTheme="majorBidi" w:cstheme="majorBidi"/>
          <w:lang w:val="en-US"/>
        </w:rPr>
        <w:t>play</w:t>
      </w:r>
      <w:r>
        <w:rPr>
          <w:rFonts w:asciiTheme="majorBidi" w:hAnsiTheme="majorBidi" w:cstheme="majorBidi"/>
          <w:lang w:val="en-US"/>
        </w:rPr>
        <w:t xml:space="preserve"> </w:t>
      </w:r>
      <w:r w:rsidRPr="00DB452E">
        <w:rPr>
          <w:rFonts w:asciiTheme="majorBidi" w:hAnsiTheme="majorBidi" w:cstheme="majorBidi"/>
          <w:lang w:val="en-US"/>
        </w:rPr>
        <w:t xml:space="preserve">a role in the perception of sound and balance </w:t>
      </w:r>
      <w:r w:rsidRPr="00DB452E">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2qmcg2jloh","properties":{"formattedCitation":"[34]","plainCitation":"[34]"},"citationItems":[{"id":2077,"uris":["http://zotero.org/users/990395/items/Q656NC4R"],"uri":["http://zotero.org/users/990395/items/Q656NC4R"],"itemData":{"id":2077,"type":"article-journal","title":"The role of ear stone size in hair cell acoustic sensory transduction","container-title":"Scientific Reports","volume":"3","source":"CrossRef","URL":"http://www.nature.com/articles/srep02114","DOI":"10.1038/srep02114","ISSN":"2045-2322","author":[{"family":"Inoue","given":"Maya"},{"family":"Tanimoto","given":"Masashi"},{"family":"Oda","given":"Yoichi"}],"issued":{"date-parts":[["2013",7,2]]},"accessed":{"date-parts":[["2016",1,6]]}}}],"schema":"https://github.com/citation-style-language/schema/raw/master/csl-citation.json"} </w:instrText>
      </w:r>
      <w:r w:rsidRPr="00DB452E">
        <w:rPr>
          <w:rFonts w:asciiTheme="majorBidi" w:hAnsiTheme="majorBidi" w:cstheme="majorBidi"/>
          <w:lang w:val="en-US"/>
        </w:rPr>
        <w:fldChar w:fldCharType="separate"/>
      </w:r>
      <w:r w:rsidRPr="006728EF">
        <w:rPr>
          <w:rFonts w:ascii="Times New Roman" w:hAnsi="Times New Roman" w:cs="Times New Roman"/>
          <w:lang w:val="en-US"/>
        </w:rPr>
        <w:t>[34]</w:t>
      </w:r>
      <w:r w:rsidRPr="00DB452E">
        <w:rPr>
          <w:rFonts w:asciiTheme="majorBidi" w:hAnsiTheme="majorBidi" w:cstheme="majorBidi"/>
          <w:lang w:val="en-US"/>
        </w:rPr>
        <w:fldChar w:fldCharType="end"/>
      </w:r>
      <w:r>
        <w:rPr>
          <w:rFonts w:asciiTheme="majorBidi" w:hAnsiTheme="majorBidi" w:cstheme="majorBidi"/>
          <w:lang w:val="en-US"/>
        </w:rPr>
        <w:t xml:space="preserve">. </w:t>
      </w:r>
    </w:p>
    <w:p w:rsidR="000F0B4A" w:rsidRDefault="000F0B4A" w:rsidP="000F0B4A">
      <w:pPr>
        <w:spacing w:line="480" w:lineRule="auto"/>
        <w:rPr>
          <w:rFonts w:asciiTheme="majorBidi" w:hAnsiTheme="majorBidi" w:cstheme="majorBidi"/>
          <w:lang w:val="en-US"/>
        </w:rPr>
      </w:pPr>
      <w:r w:rsidRPr="005643CF">
        <w:rPr>
          <w:rFonts w:asciiTheme="majorBidi" w:hAnsiTheme="majorBidi" w:cstheme="majorBidi"/>
          <w:lang w:val="en-US"/>
        </w:rPr>
        <w:t>The axial skeleton is separated into 4 regions: (1) the Weberian or cervical vertebrae, including the first 4 vertebrae and the Weberian apparatus (</w:t>
      </w:r>
      <w:r w:rsidRPr="005643CF">
        <w:rPr>
          <w:rFonts w:asciiTheme="majorBidi" w:hAnsiTheme="majorBidi" w:cstheme="majorBidi"/>
          <w:b/>
          <w:bCs/>
          <w:lang w:val="en-US"/>
        </w:rPr>
        <w:t>Video 1</w:t>
      </w:r>
      <w:r w:rsidRPr="005643CF">
        <w:rPr>
          <w:rFonts w:asciiTheme="majorBidi" w:hAnsiTheme="majorBidi" w:cstheme="majorBidi"/>
          <w:lang w:val="en-US"/>
        </w:rPr>
        <w:t xml:space="preserve">); (2) the precaudal vertebrae, formed by 10 vertebrae bearing ribs; (3) the caudal vertebrae, made up of 14 vertebrae with </w:t>
      </w:r>
      <w:proofErr w:type="spellStart"/>
      <w:r w:rsidRPr="005643CF">
        <w:rPr>
          <w:rFonts w:asciiTheme="majorBidi" w:hAnsiTheme="majorBidi" w:cstheme="majorBidi"/>
          <w:lang w:val="en-US"/>
        </w:rPr>
        <w:t>hemal</w:t>
      </w:r>
      <w:proofErr w:type="spellEnd"/>
      <w:r w:rsidRPr="005643CF">
        <w:rPr>
          <w:rFonts w:asciiTheme="majorBidi" w:hAnsiTheme="majorBidi" w:cstheme="majorBidi"/>
          <w:lang w:val="en-US"/>
        </w:rPr>
        <w:t xml:space="preserve"> arches; (4) and the caudal fin vertebrae, formed by 3 vertebrae </w:t>
      </w:r>
      <w:r w:rsidRPr="005643CF">
        <w:rPr>
          <w:rFonts w:asciiTheme="majorBidi" w:hAnsiTheme="majorBidi" w:cstheme="majorBidi"/>
          <w:lang w:val="en-US"/>
        </w:rPr>
        <w:fldChar w:fldCharType="begin"/>
      </w:r>
      <w:r w:rsidRPr="005643CF">
        <w:rPr>
          <w:rFonts w:asciiTheme="majorBidi" w:hAnsiTheme="majorBidi" w:cstheme="majorBidi"/>
          <w:lang w:val="en-US"/>
        </w:rPr>
        <w:instrText xml:space="preserve"> ADDIN ZOTERO_ITEM CSL_CITATION {"citationID":"2qeuhmu7je","properties":{"formattedCitation":"[8,35]","plainCitation":"[8,35]"},"citationItems":[{"id":1819,"uris":["http://zotero.org/users/990395/items/XQCUHQZB"],"uri":["http://zotero.org/users/990395/items/XQCUHQZB"],"itemData":{"id":1819,"type":"article-journal","title":"Developmental morphology of the axial skeleton of the zebrafish, Danio rerio (Ostariophysi: Cyprinidae)","container-title":"Developmental Dynamics","page":"337-357","volume":"228","issue":"3","source":"Wiley Online Library","abstract":"Before our rapidly increasing knowledge of gene interactions can be connected with the morphologic defects in mutant zebrafish, the normal course of skeletal development must be understood. Here, we describe the developmental morphology of the axial skeleton of zebrafish and review it in relation to the morphology of related species. The relative sequence of ossification in the skeleton is described. Two separate centers of development were found in the axial skeleton (Weberian apparatus and caudal fin) in contrast to tetrapods, which have a single anterior center. Slight variation was found in the overall relative timing of development. The extensive ichthyological literature on teleost anatomy and recent genetic data form the basis for our review and interpretation of homologies of various elements of the axial skeleton. Because homology forms the basis for all evolutionary comparisons, these data are critical for integration in evo–devo studies. Developmental Dynamics, 2003. © 2003 Wiley-Liss, Inc.","DOI":"10.1002/dvdy.10387","ISSN":"1097-0177","shortTitle":"Developmental morphology of the axial skeleton of the zebrafish, Danio rerio (Ostariophysi","journalAbbreviation":"Dev. Dyn.","language":"en","author":[{"family":"Bird","given":"Nathan C."},{"family":"Mabee","given":"Paula M."}],"issued":{"date-parts":[["2003",11,1]]}}},{"id":2025,"uris":["http://zotero.org/users/990395/items/AACIH395"],"uri":["http://zotero.org/users/990395/items/AACIH395"],"itemData":{"id":2025,"type":"article-journal","title":"Distinct patterns of notochord mineralization in zebrafish coincide with the localization of Osteocalcin isoform 1 during early vertebral centra formation","container-title":"BMC Developmental Biology","page":"28","volume":"12","issue":"1","source":"CrossRef","DOI":"10.1186/1471-213X-12-28","ISSN":"1471-213X","language":"en","author":[{"family":"Bensimon-Brito","given":"Anabela"},{"family":"Cardeira","given":"João"},{"family":"Cancela","given":"Maria"},{"family":"Huysseune","given":"Ann"},{"family":"Witten","given":"Paul"}],"issued":{"date-parts":[["2012"]]}}}],"schema":"https://github.com/citation-style-language/schema/raw/master/csl-citation.json"} </w:instrText>
      </w:r>
      <w:r w:rsidRPr="005643CF">
        <w:rPr>
          <w:rFonts w:asciiTheme="majorBidi" w:hAnsiTheme="majorBidi" w:cstheme="majorBidi"/>
          <w:lang w:val="en-US"/>
        </w:rPr>
        <w:fldChar w:fldCharType="separate"/>
      </w:r>
      <w:r w:rsidRPr="005643CF">
        <w:rPr>
          <w:rFonts w:ascii="Times New Roman" w:hAnsi="Times New Roman" w:cs="Times New Roman"/>
          <w:lang w:val="en-US"/>
        </w:rPr>
        <w:t>[8,35]</w:t>
      </w:r>
      <w:r w:rsidRPr="005643CF">
        <w:rPr>
          <w:rFonts w:asciiTheme="majorBidi" w:hAnsiTheme="majorBidi" w:cstheme="majorBidi"/>
          <w:lang w:val="en-US"/>
        </w:rPr>
        <w:fldChar w:fldCharType="end"/>
      </w:r>
      <w:r w:rsidRPr="005643CF">
        <w:rPr>
          <w:rFonts w:asciiTheme="majorBidi" w:hAnsiTheme="majorBidi" w:cstheme="majorBidi"/>
          <w:lang w:val="en-US"/>
        </w:rPr>
        <w:t xml:space="preserve">. The bones in the skeleton have both dermal and </w:t>
      </w:r>
      <w:proofErr w:type="spellStart"/>
      <w:r w:rsidRPr="005643CF">
        <w:rPr>
          <w:rFonts w:asciiTheme="majorBidi" w:hAnsiTheme="majorBidi" w:cstheme="majorBidi"/>
          <w:lang w:val="en-US"/>
        </w:rPr>
        <w:t>cartilagenous</w:t>
      </w:r>
      <w:proofErr w:type="spellEnd"/>
      <w:r w:rsidRPr="005643CF">
        <w:rPr>
          <w:rFonts w:asciiTheme="majorBidi" w:hAnsiTheme="majorBidi" w:cstheme="majorBidi"/>
          <w:lang w:val="en-US"/>
        </w:rPr>
        <w:t xml:space="preserve"> origins, in addition to a </w:t>
      </w:r>
      <w:proofErr w:type="spellStart"/>
      <w:r w:rsidRPr="005643CF">
        <w:rPr>
          <w:rFonts w:asciiTheme="majorBidi" w:hAnsiTheme="majorBidi" w:cstheme="majorBidi"/>
          <w:lang w:val="en-US"/>
        </w:rPr>
        <w:t>perichordal</w:t>
      </w:r>
      <w:proofErr w:type="spellEnd"/>
      <w:r w:rsidRPr="005643CF">
        <w:rPr>
          <w:rFonts w:asciiTheme="majorBidi" w:hAnsiTheme="majorBidi" w:cstheme="majorBidi"/>
          <w:lang w:val="en-US"/>
        </w:rPr>
        <w:t xml:space="preserve"> origin for the </w:t>
      </w:r>
      <w:proofErr w:type="spellStart"/>
      <w:r w:rsidRPr="005643CF">
        <w:rPr>
          <w:rFonts w:asciiTheme="majorBidi" w:hAnsiTheme="majorBidi" w:cstheme="majorBidi"/>
          <w:lang w:val="en-US"/>
        </w:rPr>
        <w:t>centra</w:t>
      </w:r>
      <w:proofErr w:type="spellEnd"/>
      <w:r w:rsidRPr="005643CF">
        <w:rPr>
          <w:rFonts w:asciiTheme="majorBidi" w:hAnsiTheme="majorBidi" w:cstheme="majorBidi"/>
          <w:lang w:val="en-US"/>
        </w:rPr>
        <w:t xml:space="preserve"> </w:t>
      </w:r>
      <w:r w:rsidRPr="005643CF">
        <w:rPr>
          <w:rFonts w:asciiTheme="majorBidi" w:hAnsiTheme="majorBidi" w:cstheme="majorBidi"/>
          <w:lang w:val="en-US"/>
        </w:rPr>
        <w:fldChar w:fldCharType="begin"/>
      </w:r>
      <w:r w:rsidRPr="005643CF">
        <w:rPr>
          <w:rFonts w:asciiTheme="majorBidi" w:hAnsiTheme="majorBidi" w:cstheme="majorBidi"/>
          <w:lang w:val="en-US"/>
        </w:rPr>
        <w:instrText xml:space="preserve"> ADDIN ZOTERO_ITEM CSL_CITATION {"citationID":"9cddn97cf","properties":{"formattedCitation":"[35]","plainCitation":"[35]"},"citationItems":[{"id":2025,"uris":["http://zotero.org/users/990395/items/AACIH395"],"uri":["http://zotero.org/users/990395/items/AACIH395"],"itemData":{"id":2025,"type":"article-journal","title":"Distinct patterns of notochord mineralization in zebrafish coincide with the localization of Osteocalcin isoform 1 during early vertebral centra formation","container-title":"BMC Developmental Biology","page":"28","volume":"12","issue":"1","source":"CrossRef","DOI":"10.1186/1471-213X-12-28","ISSN":"1471-213X","language":"en","author":[{"family":"Bensimon-Brito","given":"Anabela"},{"family":"Cardeira","given":"João"},{"family":"Cancela","given":"Maria"},{"family":"Huysseune","given":"Ann"},{"family":"Witten","given":"Paul"}],"issued":{"date-parts":[["2012"]]}}}],"schema":"https://github.com/citation-style-language/schema/raw/master/csl-citation.json"} </w:instrText>
      </w:r>
      <w:r w:rsidRPr="005643CF">
        <w:rPr>
          <w:rFonts w:asciiTheme="majorBidi" w:hAnsiTheme="majorBidi" w:cstheme="majorBidi"/>
          <w:lang w:val="en-US"/>
        </w:rPr>
        <w:fldChar w:fldCharType="separate"/>
      </w:r>
      <w:r w:rsidRPr="005643CF">
        <w:rPr>
          <w:rFonts w:ascii="Times New Roman" w:hAnsi="Times New Roman" w:cs="Times New Roman"/>
          <w:lang w:val="en-US"/>
        </w:rPr>
        <w:t>[35]</w:t>
      </w:r>
      <w:r w:rsidRPr="005643CF">
        <w:rPr>
          <w:rFonts w:asciiTheme="majorBidi" w:hAnsiTheme="majorBidi" w:cstheme="majorBidi"/>
          <w:lang w:val="en-US"/>
        </w:rPr>
        <w:fldChar w:fldCharType="end"/>
      </w:r>
      <w:r w:rsidRPr="005643CF">
        <w:rPr>
          <w:rFonts w:asciiTheme="majorBidi" w:hAnsiTheme="majorBidi" w:cstheme="majorBidi"/>
          <w:lang w:val="en-US"/>
        </w:rPr>
        <w:t xml:space="preserve">. At 7 </w:t>
      </w:r>
      <w:proofErr w:type="spellStart"/>
      <w:r w:rsidRPr="005643CF">
        <w:rPr>
          <w:rFonts w:asciiTheme="majorBidi" w:hAnsiTheme="majorBidi" w:cstheme="majorBidi"/>
          <w:lang w:val="en-US"/>
        </w:rPr>
        <w:t>dpf</w:t>
      </w:r>
      <w:proofErr w:type="spellEnd"/>
      <w:r w:rsidRPr="005643CF">
        <w:rPr>
          <w:rFonts w:asciiTheme="majorBidi" w:hAnsiTheme="majorBidi" w:cstheme="majorBidi"/>
          <w:lang w:val="en-US"/>
        </w:rPr>
        <w:t xml:space="preserve"> the trunk region of the axial skeleton is observed (based on Alizarin Red staining), with the initial formation of vertebrae 3 and 4 </w:t>
      </w:r>
      <w:proofErr w:type="spellStart"/>
      <w:r w:rsidRPr="005643CF">
        <w:rPr>
          <w:rFonts w:asciiTheme="majorBidi" w:hAnsiTheme="majorBidi" w:cstheme="majorBidi"/>
          <w:lang w:val="en-US"/>
        </w:rPr>
        <w:t>centra</w:t>
      </w:r>
      <w:proofErr w:type="spellEnd"/>
      <w:r w:rsidRPr="005643CF">
        <w:rPr>
          <w:rFonts w:asciiTheme="majorBidi" w:hAnsiTheme="majorBidi" w:cstheme="majorBidi"/>
          <w:lang w:val="en-US"/>
        </w:rPr>
        <w:t xml:space="preserve"> </w:t>
      </w:r>
      <w:r w:rsidRPr="005643CF">
        <w:rPr>
          <w:rFonts w:asciiTheme="majorBidi" w:hAnsiTheme="majorBidi" w:cstheme="majorBidi"/>
          <w:lang w:val="en-US"/>
        </w:rPr>
        <w:fldChar w:fldCharType="begin"/>
      </w:r>
      <w:r w:rsidRPr="005643CF">
        <w:rPr>
          <w:rFonts w:asciiTheme="majorBidi" w:hAnsiTheme="majorBidi" w:cstheme="majorBidi"/>
          <w:lang w:val="en-US"/>
        </w:rPr>
        <w:instrText xml:space="preserve"> ADDIN ZOTERO_ITEM CSL_CITATION {"citationID":"1ca7aq4s37","properties":{"formattedCitation":"[8,35]","plainCitation":"[8,35]"},"citationItems":[{"id":1819,"uris":["http://zotero.org/users/990395/items/XQCUHQZB"],"uri":["http://zotero.org/users/990395/items/XQCUHQZB"],"itemData":{"id":1819,"type":"article-journal","title":"Developmental morphology of the axial skeleton of the zebrafish, Danio rerio (Ostariophysi: Cyprinidae)","container-title":"Developmental Dynamics","page":"337-357","volume":"228","issue":"3","source":"Wiley Online Library","abstract":"Before our rapidly increasing knowledge of gene interactions can be connected with the morphologic defects in mutant zebrafish, the normal course of skeletal development must be understood. Here, we describe the developmental morphology of the axial skeleton of zebrafish and review it in relation to the morphology of related species. The relative sequence of ossification in the skeleton is described. Two separate centers of development were found in the axial skeleton (Weberian apparatus and caudal fin) in contrast to tetrapods, which have a single anterior center. Slight variation was found in the overall relative timing of development. The extensive ichthyological literature on teleost anatomy and recent genetic data form the basis for our review and interpretation of homologies of various elements of the axial skeleton. Because homology forms the basis for all evolutionary comparisons, these data are critical for integration in evo–devo studies. Developmental Dynamics, 2003. © 2003 Wiley-Liss, Inc.","DOI":"10.1002/dvdy.10387","ISSN":"1097-0177","shortTitle":"Developmental morphology of the axial skeleton of the zebrafish, Danio rerio (Ostariophysi","journalAbbreviation":"Dev. Dyn.","language":"en","author":[{"family":"Bird","given":"Nathan C."},{"family":"Mabee","given":"Paula M."}],"issued":{"date-parts":[["2003",11,1]]}}},{"id":2025,"uris":["http://zotero.org/users/990395/items/AACIH395"],"uri":["http://zotero.org/users/990395/items/AACIH395"],"itemData":{"id":2025,"type":"article-journal","title":"Distinct patterns of notochord mineralization in zebrafish coincide with the localization of Osteocalcin isoform 1 during early vertebral centra formation","container-title":"BMC Developmental Biology","page":"28","volume":"12","issue":"1","source":"CrossRef","DOI":"10.1186/1471-213X-12-28","ISSN":"1471-213X","language":"en","author":[{"family":"Bensimon-Brito","given":"Anabela"},{"family":"Cardeira","given":"João"},{"family":"Cancela","given":"Maria"},{"family":"Huysseune","given":"Ann"},{"family":"Witten","given":"Paul"}],"issued":{"date-parts":[["2012"]]}}}],"schema":"https://github.com/citation-style-language/schema/raw/master/csl-citation.json"} </w:instrText>
      </w:r>
      <w:r w:rsidRPr="005643CF">
        <w:rPr>
          <w:rFonts w:asciiTheme="majorBidi" w:hAnsiTheme="majorBidi" w:cstheme="majorBidi"/>
          <w:lang w:val="en-US"/>
        </w:rPr>
        <w:fldChar w:fldCharType="separate"/>
      </w:r>
      <w:r w:rsidRPr="005643CF">
        <w:rPr>
          <w:rFonts w:ascii="Times New Roman" w:hAnsi="Times New Roman" w:cs="Times New Roman"/>
          <w:lang w:val="en-US"/>
        </w:rPr>
        <w:t>[8,35]</w:t>
      </w:r>
      <w:r w:rsidRPr="005643CF">
        <w:rPr>
          <w:rFonts w:asciiTheme="majorBidi" w:hAnsiTheme="majorBidi" w:cstheme="majorBidi"/>
          <w:lang w:val="en-US"/>
        </w:rPr>
        <w:fldChar w:fldCharType="end"/>
      </w:r>
      <w:r w:rsidRPr="005643CF">
        <w:rPr>
          <w:rFonts w:asciiTheme="majorBidi" w:hAnsiTheme="majorBidi" w:cstheme="majorBidi"/>
          <w:lang w:val="en-US"/>
        </w:rPr>
        <w:t xml:space="preserve">. Then the first two vertebrae are mineralized at the same time as vertebra 5. The remaining vertebrae mineralize after this. These </w:t>
      </w:r>
      <w:proofErr w:type="spellStart"/>
      <w:r w:rsidRPr="005643CF">
        <w:rPr>
          <w:rFonts w:asciiTheme="majorBidi" w:hAnsiTheme="majorBidi" w:cstheme="majorBidi"/>
          <w:lang w:val="en-US"/>
        </w:rPr>
        <w:t>centra</w:t>
      </w:r>
      <w:proofErr w:type="spellEnd"/>
      <w:r w:rsidRPr="005643CF">
        <w:rPr>
          <w:rFonts w:asciiTheme="majorBidi" w:hAnsiTheme="majorBidi" w:cstheme="majorBidi"/>
          <w:lang w:val="en-US"/>
        </w:rPr>
        <w:t xml:space="preserve"> are mineralized first in a ‘ring’ shape </w:t>
      </w:r>
      <w:r w:rsidRPr="005643CF">
        <w:rPr>
          <w:rFonts w:asciiTheme="majorBidi" w:hAnsiTheme="majorBidi" w:cstheme="majorBidi"/>
          <w:lang w:val="en-US"/>
        </w:rPr>
        <w:lastRenderedPageBreak/>
        <w:t xml:space="preserve">which then expands in the antero-posterior axis </w:t>
      </w:r>
      <w:r w:rsidRPr="005643CF">
        <w:rPr>
          <w:rFonts w:asciiTheme="majorBidi" w:hAnsiTheme="majorBidi" w:cstheme="majorBidi"/>
          <w:lang w:val="en-US"/>
        </w:rPr>
        <w:fldChar w:fldCharType="begin"/>
      </w:r>
      <w:r w:rsidRPr="005643CF">
        <w:rPr>
          <w:rFonts w:asciiTheme="majorBidi" w:hAnsiTheme="majorBidi" w:cstheme="majorBidi"/>
          <w:lang w:val="en-US"/>
        </w:rPr>
        <w:instrText xml:space="preserve"> ADDIN ZOTERO_ITEM CSL_CITATION {"citationID":"4hnb3uu6h","properties":{"formattedCitation":"[35]","plainCitation":"[35]"},"citationItems":[{"id":2025,"uris":["http://zotero.org/users/990395/items/AACIH395"],"uri":["http://zotero.org/users/990395/items/AACIH395"],"itemData":{"id":2025,"type":"article-journal","title":"Distinct patterns of notochord mineralization in zebrafish coincide with the localization of Osteocalcin isoform 1 during early vertebral centra formation","container-title":"BMC Developmental Biology","page":"28","volume":"12","issue":"1","source":"CrossRef","DOI":"10.1186/1471-213X-12-28","ISSN":"1471-213X","language":"en","author":[{"family":"Bensimon-Brito","given":"Anabela"},{"family":"Cardeira","given":"João"},{"family":"Cancela","given":"Maria"},{"family":"Huysseune","given":"Ann"},{"family":"Witten","given":"Paul"}],"issued":{"date-parts":[["2012"]]}}}],"schema":"https://github.com/citation-style-language/schema/raw/master/csl-citation.json"} </w:instrText>
      </w:r>
      <w:r w:rsidRPr="005643CF">
        <w:rPr>
          <w:rFonts w:asciiTheme="majorBidi" w:hAnsiTheme="majorBidi" w:cstheme="majorBidi"/>
          <w:lang w:val="en-US"/>
        </w:rPr>
        <w:fldChar w:fldCharType="separate"/>
      </w:r>
      <w:r w:rsidRPr="005643CF">
        <w:rPr>
          <w:rFonts w:ascii="Times New Roman" w:hAnsi="Times New Roman" w:cs="Times New Roman"/>
          <w:lang w:val="en-US"/>
        </w:rPr>
        <w:t>[35]</w:t>
      </w:r>
      <w:r w:rsidRPr="005643CF">
        <w:rPr>
          <w:rFonts w:asciiTheme="majorBidi" w:hAnsiTheme="majorBidi" w:cstheme="majorBidi"/>
          <w:lang w:val="en-US"/>
        </w:rPr>
        <w:fldChar w:fldCharType="end"/>
      </w:r>
      <w:r w:rsidRPr="005643CF">
        <w:rPr>
          <w:rFonts w:asciiTheme="majorBidi" w:hAnsiTheme="majorBidi" w:cstheme="majorBidi"/>
          <w:lang w:val="en-US"/>
        </w:rPr>
        <w:t xml:space="preserve">. The fin tail is formed by 3 caudal vertebrae, 11 other bones and 19 fin rays </w:t>
      </w:r>
      <w:r w:rsidRPr="005643CF">
        <w:rPr>
          <w:rFonts w:asciiTheme="majorBidi" w:hAnsiTheme="majorBidi" w:cstheme="majorBidi"/>
          <w:lang w:val="en-US"/>
        </w:rPr>
        <w:fldChar w:fldCharType="begin"/>
      </w:r>
      <w:r w:rsidRPr="005643CF">
        <w:rPr>
          <w:rFonts w:asciiTheme="majorBidi" w:hAnsiTheme="majorBidi" w:cstheme="majorBidi"/>
          <w:lang w:val="en-US"/>
        </w:rPr>
        <w:instrText xml:space="preserve"> ADDIN ZOTERO_ITEM CSL_CITATION {"citationID":"27tpvqc21p","properties":{"formattedCitation":"[8]","plainCitation":"[8]"},"citationItems":[{"id":1819,"uris":["http://zotero.org/users/990395/items/XQCUHQZB"],"uri":["http://zotero.org/users/990395/items/XQCUHQZB"],"itemData":{"id":1819,"type":"article-journal","title":"Developmental morphology of the axial skeleton of the zebrafish, Danio rerio (Ostariophysi: Cyprinidae)","container-title":"Developmental Dynamics","page":"337-357","volume":"228","issue":"3","source":"Wiley Online Library","abstract":"Before our rapidly increasing knowledge of gene interactions can be connected with the morphologic defects in mutant zebrafish, the normal course of skeletal development must be understood. Here, we describe the developmental morphology of the axial skeleton of zebrafish and review it in relation to the morphology of related species. The relative sequence of ossification in the skeleton is described. Two separate centers of development were found in the axial skeleton (Weberian apparatus and caudal fin) in contrast to tetrapods, which have a single anterior center. Slight variation was found in the overall relative timing of development. The extensive ichthyological literature on teleost anatomy and recent genetic data form the basis for our review and interpretation of homologies of various elements of the axial skeleton. Because homology forms the basis for all evolutionary comparisons, these data are critical for integration in evo–devo studies. Developmental Dynamics, 2003. © 2003 Wiley-Liss, Inc.","DOI":"10.1002/dvdy.10387","ISSN":"1097-0177","shortTitle":"Developmental morphology of the axial skeleton of the zebrafish, Danio rerio (Ostariophysi","journalAbbreviation":"Dev. Dyn.","language":"en","author":[{"family":"Bird","given":"Nathan C."},{"family":"Mabee","given":"Paula M."}],"issued":{"date-parts":[["2003",11,1]]}}}],"schema":"https://github.com/citation-style-language/schema/raw/master/csl-citation.json"} </w:instrText>
      </w:r>
      <w:r w:rsidRPr="005643CF">
        <w:rPr>
          <w:rFonts w:asciiTheme="majorBidi" w:hAnsiTheme="majorBidi" w:cstheme="majorBidi"/>
          <w:lang w:val="en-US"/>
        </w:rPr>
        <w:fldChar w:fldCharType="separate"/>
      </w:r>
      <w:r w:rsidRPr="005643CF">
        <w:rPr>
          <w:rFonts w:ascii="Times New Roman" w:hAnsi="Times New Roman" w:cs="Times New Roman"/>
          <w:lang w:val="en-US"/>
        </w:rPr>
        <w:t>[8]</w:t>
      </w:r>
      <w:r w:rsidRPr="005643CF">
        <w:rPr>
          <w:rFonts w:asciiTheme="majorBidi" w:hAnsiTheme="majorBidi" w:cstheme="majorBidi"/>
          <w:lang w:val="en-US"/>
        </w:rPr>
        <w:fldChar w:fldCharType="end"/>
      </w:r>
      <w:r w:rsidRPr="005643CF">
        <w:rPr>
          <w:rFonts w:asciiTheme="majorBidi" w:hAnsiTheme="majorBidi" w:cstheme="majorBidi"/>
          <w:lang w:val="en-US"/>
        </w:rPr>
        <w:t xml:space="preserve">. The formation of the tail begins with the </w:t>
      </w:r>
      <w:proofErr w:type="spellStart"/>
      <w:r w:rsidRPr="005643CF">
        <w:rPr>
          <w:rFonts w:asciiTheme="majorBidi" w:hAnsiTheme="majorBidi" w:cstheme="majorBidi"/>
          <w:lang w:val="en-US"/>
        </w:rPr>
        <w:t>ural</w:t>
      </w:r>
      <w:proofErr w:type="spellEnd"/>
      <w:r w:rsidRPr="005643CF">
        <w:rPr>
          <w:rFonts w:asciiTheme="majorBidi" w:hAnsiTheme="majorBidi" w:cstheme="majorBidi"/>
          <w:lang w:val="en-US"/>
        </w:rPr>
        <w:t xml:space="preserve"> 1 at 17 </w:t>
      </w:r>
      <w:proofErr w:type="spellStart"/>
      <w:r w:rsidRPr="005643CF">
        <w:rPr>
          <w:rFonts w:asciiTheme="majorBidi" w:hAnsiTheme="majorBidi" w:cstheme="majorBidi"/>
          <w:lang w:val="en-US"/>
        </w:rPr>
        <w:t>dpf</w:t>
      </w:r>
      <w:proofErr w:type="spellEnd"/>
      <w:r w:rsidRPr="005643CF">
        <w:rPr>
          <w:rFonts w:asciiTheme="majorBidi" w:hAnsiTheme="majorBidi" w:cstheme="majorBidi"/>
          <w:lang w:val="en-US"/>
        </w:rPr>
        <w:t xml:space="preserve"> and is fully formed at 30 </w:t>
      </w:r>
      <w:proofErr w:type="spellStart"/>
      <w:r w:rsidRPr="005643CF">
        <w:rPr>
          <w:rFonts w:asciiTheme="majorBidi" w:hAnsiTheme="majorBidi" w:cstheme="majorBidi"/>
          <w:lang w:val="en-US"/>
        </w:rPr>
        <w:t>dpf</w:t>
      </w:r>
      <w:proofErr w:type="spellEnd"/>
      <w:r w:rsidRPr="005643CF">
        <w:rPr>
          <w:rFonts w:asciiTheme="majorBidi" w:hAnsiTheme="majorBidi" w:cstheme="majorBidi"/>
          <w:lang w:val="en-US"/>
        </w:rPr>
        <w:t xml:space="preserve"> </w:t>
      </w:r>
      <w:r w:rsidRPr="005643CF">
        <w:rPr>
          <w:rFonts w:asciiTheme="majorBidi" w:hAnsiTheme="majorBidi" w:cstheme="majorBidi"/>
          <w:lang w:val="en-US"/>
        </w:rPr>
        <w:fldChar w:fldCharType="begin"/>
      </w:r>
      <w:r w:rsidRPr="005643CF">
        <w:rPr>
          <w:rFonts w:asciiTheme="majorBidi" w:hAnsiTheme="majorBidi" w:cstheme="majorBidi"/>
          <w:lang w:val="en-US"/>
        </w:rPr>
        <w:instrText xml:space="preserve"> ADDIN ZOTERO_ITEM CSL_CITATION {"citationID":"2ovshe01bb","properties":{"formattedCitation":"[10]","plainCitation":"[10]"},"citationItems":[{"id":1707,"uris":["http://zotero.org/users/990395/items/PQB2BI7W"],"uri":["http://zotero.org/users/990395/items/PQB2BI7W"],"itemData":{"id":1707,"type":"article-journal","title":"Visualizing Normal and Defective Bone Development in Zebrafish Embryos Using the Fluorescent Chromophore Calcein","container-title":"Developmental Biology","page":"239-246","volume":"238","issue":"2","source":"ScienceDirect","abstract":"Zebrafish have recently become a model of choice among developmental biologists. This unique model enables both modern molecular and genetic studies to be carried out to identify genes involved in a wide variety of developmental processes. The success of the genetic approach depends largely on the application of an easy and effective screening method to identify interesting mutants. In order to develop a method for visualizing skeletal structures in zebrafish embryos that would be suitable for screening skeletal mutants, we investigated the use of the fluorescent chromophore calcein, which binds specifically to calcified skeletal structures. By using this method, we followed the development of the skeletal structures in zebrafish embryos from day 1 to day 21 postfertilization, and analyzed the effect of bone morphogenetic protein-2 (BMP2) on axial skeleton development. We found the development of the calcified skeletal structure to appear in a progressive fashion from head to tail. Calcified structures in the head (i.e., the jaw) developed first, which were then followed by the axial skeleton in the trunk. Interesting to note was that there appeared to be two domains in the calcification of vertebrae within the axial skeleton. The first three vertebrae were in the first domain; the rest being in the second domain. Compared with Alcian blue staining, we found that calcein staining indeed labels calcified skeletal structures, and, moreover, it is a more sensitive and inclusive method for visualizing skeletal structures. To determine whether calcein staining could also be used to detect abnormal bone development, we ectopically expressed BMP2 in zebrafish notochord cells. We demonstrated that ectopic expression of BMP2 in notochord cells inhibited the development of the axial skeleton. Together, these results clearly demonstrated the sensitivity of calcein staining for visualizing bone structures in developing zebrafish embryos and its effectiveness for screening for mutants that have bone structure defects.","DOI":"10.1006/dbio.2001.0390","ISSN":"0012-1606","journalAbbreviation":"Developmental Biology","author":[{"family":"Du","given":"Shao Jun"},{"family":"Frenkel","given":"Victor"},{"family":"Kindschi","given":"Greg"},{"family":"Zohar","given":"Yonathan"}],"issued":{"date-parts":[["2001",10,15]]}}}],"schema":"https://github.com/citation-style-language/schema/raw/master/csl-citation.json"} </w:instrText>
      </w:r>
      <w:r w:rsidRPr="005643CF">
        <w:rPr>
          <w:rFonts w:asciiTheme="majorBidi" w:hAnsiTheme="majorBidi" w:cstheme="majorBidi"/>
          <w:lang w:val="en-US"/>
        </w:rPr>
        <w:fldChar w:fldCharType="separate"/>
      </w:r>
      <w:r w:rsidRPr="005643CF">
        <w:rPr>
          <w:rFonts w:ascii="Times New Roman" w:hAnsi="Times New Roman" w:cs="Times New Roman"/>
        </w:rPr>
        <w:t>[10]</w:t>
      </w:r>
      <w:r w:rsidRPr="005643CF">
        <w:rPr>
          <w:rFonts w:asciiTheme="majorBidi" w:hAnsiTheme="majorBidi" w:cstheme="majorBidi"/>
          <w:lang w:val="en-US"/>
        </w:rPr>
        <w:fldChar w:fldCharType="end"/>
      </w:r>
      <w:r w:rsidRPr="005643CF">
        <w:rPr>
          <w:rFonts w:asciiTheme="majorBidi" w:hAnsiTheme="majorBidi" w:cstheme="majorBidi"/>
          <w:lang w:val="en-US"/>
        </w:rPr>
        <w:t>.</w:t>
      </w:r>
    </w:p>
    <w:p w:rsidR="000F0B4A" w:rsidRDefault="000F0B4A">
      <w:pPr>
        <w:spacing w:after="200" w:line="276" w:lineRule="auto"/>
        <w:sectPr w:rsidR="000F0B4A" w:rsidSect="000F0B4A">
          <w:pgSz w:w="11906" w:h="16838"/>
          <w:pgMar w:top="1417" w:right="1417" w:bottom="1417" w:left="1417" w:header="708" w:footer="708" w:gutter="0"/>
          <w:cols w:space="708"/>
          <w:docGrid w:linePitch="360"/>
        </w:sectPr>
      </w:pPr>
    </w:p>
    <w:p w:rsidR="000F0B4A" w:rsidRDefault="000F0B4A"/>
    <w:p w:rsidR="008E50B8" w:rsidRDefault="0083547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85pt;height:425.3pt">
            <v:imagedata r:id="rId5" o:title="Figure-s1"/>
          </v:shape>
        </w:pict>
      </w:r>
      <w:r w:rsidR="000F0B4A">
        <w:t>.</w:t>
      </w:r>
    </w:p>
    <w:sectPr w:rsidR="008E50B8" w:rsidSect="000F0B4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C5C18"/>
    <w:multiLevelType w:val="hybridMultilevel"/>
    <w:tmpl w:val="F77CE6EE"/>
    <w:lvl w:ilvl="0" w:tplc="7D34C50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713"/>
    <w:rsid w:val="000F0B4A"/>
    <w:rsid w:val="00112E13"/>
    <w:rsid w:val="00185B90"/>
    <w:rsid w:val="00482713"/>
    <w:rsid w:val="0083547D"/>
    <w:rsid w:val="008E50B8"/>
    <w:rsid w:val="00D817B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10E8"/>
  <w15:docId w15:val="{CB98B321-BFC6-4537-BC98-A9AF53BB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817B0"/>
    <w:pPr>
      <w:spacing w:after="0" w:line="240" w:lineRule="auto"/>
    </w:pPr>
    <w:rPr>
      <w:rFonts w:eastAsiaTheme="minorEastAsia"/>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0B4A"/>
    <w:pPr>
      <w:spacing w:after="200" w:line="276" w:lineRule="auto"/>
      <w:ind w:left="720"/>
      <w:contextualSpacing/>
    </w:pPr>
    <w:rPr>
      <w:rFonts w:eastAsiaTheme="minorHAnsi"/>
      <w:sz w:val="22"/>
      <w:szCs w:val="22"/>
    </w:rPr>
  </w:style>
  <w:style w:type="character" w:styleId="Appelnotedebasdep">
    <w:name w:val="footnote reference"/>
    <w:basedOn w:val="Policepardfaut"/>
    <w:uiPriority w:val="99"/>
    <w:semiHidden/>
    <w:unhideWhenUsed/>
    <w:rsid w:val="000F0B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4957</Words>
  <Characters>27269</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dc:creator>
  <cp:keywords/>
  <dc:description/>
  <cp:lastModifiedBy>orsay physics</cp:lastModifiedBy>
  <cp:revision>6</cp:revision>
  <dcterms:created xsi:type="dcterms:W3CDTF">2016-12-18T12:27:00Z</dcterms:created>
  <dcterms:modified xsi:type="dcterms:W3CDTF">2017-01-30T17:48:00Z</dcterms:modified>
</cp:coreProperties>
</file>