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bCs/>
        </w:rPr>
      </w:pPr>
      <w:r>
        <w:rPr>
          <w:b/>
          <w:bCs/>
        </w:rPr>
        <w:t xml:space="preserve">S2 </w:t>
      </w:r>
      <w:r>
        <w:rPr>
          <w:b/>
          <w:bCs/>
        </w:rPr>
        <w:t>Tabl</w:t>
      </w:r>
      <w:r>
        <w:rPr>
          <w:b/>
          <w:bCs/>
        </w:rPr>
        <w:t>e</w:t>
      </w:r>
      <w:r>
        <w:rPr>
          <w:b/>
          <w:bCs/>
        </w:rPr>
        <w:t>.  Sample sizes for categorical variables used in graphical analysis</w:t>
      </w:r>
    </w:p>
    <w:tbl>
      <w:tblPr>
        <w:tblW w:w="9360" w:type="dxa"/>
        <w:jc w:val="left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4"/>
        <w:gridCol w:w="1440"/>
        <w:gridCol w:w="1443"/>
        <w:gridCol w:w="1174"/>
        <w:gridCol w:w="1215"/>
        <w:gridCol w:w="1195"/>
        <w:gridCol w:w="1188"/>
      </w:tblGrid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Levels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212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Doors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82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93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49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Beds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101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82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43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Baths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111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106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Apartment/ Condo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Detached House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HomeType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109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114</w:t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Non Missing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0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RoomVolume</w:t>
            </w:r>
          </w:p>
        </w:tc>
        <w:tc>
          <w:tcPr>
            <w:tcW w:w="1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  <w:t>257</w:t>
            </w:r>
          </w:p>
        </w:tc>
        <w:tc>
          <w:tcPr>
            <w:tcW w:w="14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7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094" w:right="1094" w:header="0" w:top="1152" w:footer="0" w:bottom="115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>
      <w:rFonts w:ascii="Arial" w:hAnsi="Arial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rFonts w:ascii="Arial" w:hAnsi="Arial"/>
      <w:sz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LibreOffice/5.1.6.2.0$Linux_x86 LibreOffice_project/10$Build-2</Application>
  <Pages>1</Pages>
  <Words>65</Words>
  <Characters>222</Characters>
  <CharactersWithSpaces>236</CharactersWithSpaces>
  <Paragraphs>52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2016-05-13T15:30:00Z</dcterms:created>
  <dc:creator>John Bellettiere</dc:creator>
  <dc:description/>
  <dc:language>en-US</dc:language>
  <cp:lastModifiedBy>Neil Klepeis</cp:lastModifiedBy>
  <dcterms:modified xsi:type="dcterms:W3CDTF">2017-05-08T10:58:50Z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