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BB" w:rsidRPr="00D15962" w:rsidRDefault="000B76F1" w:rsidP="00D15962">
      <w:pPr>
        <w:tabs>
          <w:tab w:val="center" w:pos="7143"/>
        </w:tabs>
        <w:spacing w:line="480" w:lineRule="auto"/>
        <w:jc w:val="both"/>
        <w:rPr>
          <w:rFonts w:ascii="Times New Roman" w:hAnsi="Times New Roman"/>
          <w:b/>
          <w:sz w:val="36"/>
          <w:szCs w:val="36"/>
          <w:lang w:val="en-US"/>
        </w:rPr>
      </w:pPr>
      <w:bookmarkStart w:id="0" w:name="_GoBack"/>
      <w:r w:rsidRPr="00D15962">
        <w:rPr>
          <w:rFonts w:ascii="Times New Roman" w:hAnsi="Times New Roman"/>
          <w:b/>
          <w:sz w:val="36"/>
          <w:szCs w:val="36"/>
          <w:lang w:val="en-US"/>
        </w:rPr>
        <w:t>Supplement</w:t>
      </w:r>
      <w:r w:rsidR="003C4550">
        <w:rPr>
          <w:rFonts w:ascii="Times New Roman" w:hAnsi="Times New Roman"/>
          <w:b/>
          <w:sz w:val="36"/>
          <w:szCs w:val="36"/>
          <w:lang w:val="en-US"/>
        </w:rPr>
        <w:t xml:space="preserve">/ </w:t>
      </w:r>
      <w:proofErr w:type="gramStart"/>
      <w:r w:rsidR="003C4550">
        <w:rPr>
          <w:rFonts w:ascii="Times New Roman" w:hAnsi="Times New Roman"/>
          <w:b/>
          <w:sz w:val="36"/>
          <w:szCs w:val="36"/>
          <w:lang w:val="en-US"/>
        </w:rPr>
        <w:t>Supporting</w:t>
      </w:r>
      <w:proofErr w:type="gramEnd"/>
      <w:r w:rsidR="003C4550">
        <w:rPr>
          <w:rFonts w:ascii="Times New Roman" w:hAnsi="Times New Roman"/>
          <w:b/>
          <w:sz w:val="36"/>
          <w:szCs w:val="36"/>
          <w:lang w:val="en-US"/>
        </w:rPr>
        <w:t xml:space="preserve"> information</w:t>
      </w:r>
      <w:r w:rsidR="00D15962">
        <w:rPr>
          <w:rFonts w:ascii="Times New Roman" w:hAnsi="Times New Roman"/>
          <w:b/>
          <w:sz w:val="36"/>
          <w:szCs w:val="36"/>
          <w:lang w:val="en-US"/>
        </w:rPr>
        <w:tab/>
      </w:r>
    </w:p>
    <w:p w:rsidR="005B7055" w:rsidRPr="00D15962" w:rsidRDefault="005B7055" w:rsidP="006605A2">
      <w:pPr>
        <w:spacing w:line="48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D15962">
        <w:rPr>
          <w:rFonts w:ascii="Times New Roman" w:hAnsi="Times New Roman"/>
          <w:b/>
          <w:sz w:val="32"/>
          <w:szCs w:val="32"/>
          <w:lang w:val="en-US"/>
        </w:rPr>
        <w:t>Procedure of path analysis</w:t>
      </w:r>
    </w:p>
    <w:p w:rsidR="005B7055" w:rsidRDefault="004A38E4" w:rsidP="006605A2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Path analysis is primarily a method to exclude inadequate models as there are always statistical equivalent adequate models </w:t>
      </w:r>
      <w:r w:rsidR="00365949">
        <w:rPr>
          <w:rFonts w:ascii="Times New Roman" w:hAnsi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/>
          <w:sz w:val="24"/>
          <w:szCs w:val="24"/>
          <w:lang w:val="en-US"/>
        </w:rPr>
        <w:instrText xml:space="preserve"> ADDIN EN.CITE &lt;EndNote&gt;&lt;Cite&gt;&lt;Author&gt;Hoyle&lt;/Author&gt;&lt;Year&gt;2015&lt;/Year&gt;&lt;RecNum&gt;1389&lt;/RecNum&gt;&lt;DisplayText&gt;[24]&lt;/DisplayText&gt;&lt;record&gt;&lt;rec-number&gt;1389&lt;/rec-number&gt;&lt;foreign-keys&gt;&lt;key app="EN" db-id="aad9r0xelffe22err24v50fovdvzsaa5rzsz"&gt;1389&lt;/key&gt;&lt;/foreign-keys&gt;&lt;ref-type name="Edited Book"&gt;28&lt;/ref-type&gt;&lt;contributors&gt;&lt;authors&gt;&lt;author&gt;Rick H. Hoyle&lt;/author&gt;&lt;/authors&gt;&lt;/contributors&gt;&lt;titles&gt;&lt;title&gt;Handbook of Structural Equation Modeling&lt;/title&gt;&lt;/titles&gt;&lt;dates&gt;&lt;year&gt;2015&lt;/year&gt;&lt;/dates&gt;&lt;urls&gt;&lt;/urls&gt;&lt;/record&gt;&lt;/Cite&gt;&lt;/EndNote&gt;</w:instrText>
      </w:r>
      <w:r w:rsidR="00365949">
        <w:rPr>
          <w:rFonts w:ascii="Times New Roman" w:hAnsi="Times New Roman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en-US"/>
        </w:rPr>
        <w:t>[</w:t>
      </w:r>
      <w:hyperlink w:anchor="_ENREF_24" w:tooltip="Hoyle, 2015 #1389" w:history="1">
        <w:r w:rsidR="006D4086">
          <w:rPr>
            <w:rFonts w:ascii="Times New Roman" w:hAnsi="Times New Roman"/>
            <w:noProof/>
            <w:sz w:val="24"/>
            <w:szCs w:val="24"/>
            <w:lang w:val="en-US"/>
          </w:rPr>
          <w:t>1</w:t>
        </w:r>
      </w:hyperlink>
      <w:r>
        <w:rPr>
          <w:rFonts w:ascii="Times New Roman" w:hAnsi="Times New Roman"/>
          <w:noProof/>
          <w:sz w:val="24"/>
          <w:szCs w:val="24"/>
          <w:lang w:val="en-US"/>
        </w:rPr>
        <w:t>]</w:t>
      </w:r>
      <w:r w:rsidR="00365949">
        <w:rPr>
          <w:rFonts w:ascii="Times New Roman" w:hAnsi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/>
          <w:sz w:val="24"/>
          <w:szCs w:val="24"/>
          <w:lang w:val="en-US"/>
        </w:rPr>
        <w:t>. Therefore a sensible model has to be constructed on the basis of previous knowledge which is derived from both conventional statistical analyses and relationships suggested by causal mechanisms. Following this reasoning we</w:t>
      </w:r>
      <w:r w:rsidRPr="005E30CF">
        <w:rPr>
          <w:rFonts w:ascii="Times New Roman" w:hAnsi="Times New Roman"/>
          <w:sz w:val="24"/>
          <w:szCs w:val="24"/>
          <w:lang w:val="en-US"/>
        </w:rPr>
        <w:t xml:space="preserve"> construct</w:t>
      </w:r>
      <w:r>
        <w:rPr>
          <w:rFonts w:ascii="Times New Roman" w:hAnsi="Times New Roman"/>
          <w:sz w:val="24"/>
          <w:szCs w:val="24"/>
          <w:lang w:val="en-US"/>
        </w:rPr>
        <w:t>ed</w:t>
      </w:r>
      <w:r w:rsidRPr="005E30CF">
        <w:rPr>
          <w:rFonts w:ascii="Times New Roman" w:hAnsi="Times New Roman"/>
          <w:sz w:val="24"/>
          <w:szCs w:val="24"/>
          <w:lang w:val="en-US"/>
        </w:rPr>
        <w:t xml:space="preserve"> path analysis models of increasing complexity</w:t>
      </w:r>
      <w:r>
        <w:rPr>
          <w:rFonts w:ascii="Times New Roman" w:hAnsi="Times New Roman"/>
          <w:sz w:val="24"/>
          <w:szCs w:val="24"/>
          <w:lang w:val="en-US"/>
        </w:rPr>
        <w:t xml:space="preserve">, using both the results of the linear or logistic regression analyses and </w:t>
      </w:r>
      <w:r w:rsidRPr="005E30CF">
        <w:rPr>
          <w:rFonts w:ascii="Times New Roman" w:hAnsi="Times New Roman"/>
          <w:sz w:val="24"/>
          <w:szCs w:val="24"/>
          <w:lang w:val="en-US"/>
        </w:rPr>
        <w:t xml:space="preserve">pathophysiological considerations. </w:t>
      </w:r>
      <w:r w:rsidR="005B7055">
        <w:rPr>
          <w:rFonts w:ascii="Times New Roman" w:hAnsi="Times New Roman"/>
          <w:sz w:val="24"/>
          <w:szCs w:val="24"/>
          <w:lang w:val="en-US"/>
        </w:rPr>
        <w:t xml:space="preserve">For fitting the models we used maximum likelihood estimation and checked the results by asymptotically distribution-free estimation, which was possible due to the large sample size </w:t>
      </w:r>
      <w:r w:rsidR="00365949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5B7055">
        <w:rPr>
          <w:rFonts w:ascii="Times New Roman" w:hAnsi="Times New Roman"/>
          <w:sz w:val="24"/>
          <w:szCs w:val="24"/>
          <w:lang w:val="en-US"/>
        </w:rPr>
        <w:instrText xml:space="preserve"> ADDIN EN.CITE &lt;EndNote&gt;&lt;Cite&gt;&lt;Author&gt;Hoyle&lt;/Author&gt;&lt;Year&gt;2015&lt;/Year&gt;&lt;RecNum&gt;1389&lt;/RecNum&gt;&lt;DisplayText&gt;[24]&lt;/DisplayText&gt;&lt;record&gt;&lt;rec-number&gt;1389&lt;/rec-number&gt;&lt;foreign-keys&gt;&lt;key app="EN" db-id="aad9r0xelffe22err24v50fovdvzsaa5rzsz"&gt;1389&lt;/key&gt;&lt;/foreign-keys&gt;&lt;ref-type name="Edited Book"&gt;28&lt;/ref-type&gt;&lt;contributors&gt;&lt;authors&gt;&lt;author&gt;Rick H. Hoyle&lt;/author&gt;&lt;/authors&gt;&lt;/contributors&gt;&lt;titles&gt;&lt;title&gt;Handbook of Structural Equation Modeling&lt;/title&gt;&lt;/titles&gt;&lt;dates&gt;&lt;year&gt;2015&lt;/year&gt;&lt;/dates&gt;&lt;urls&gt;&lt;/urls&gt;&lt;/record&gt;&lt;/Cite&gt;&lt;/EndNote&gt;</w:instrText>
      </w:r>
      <w:r w:rsidR="00365949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5B7055">
        <w:rPr>
          <w:rFonts w:ascii="Times New Roman" w:hAnsi="Times New Roman"/>
          <w:noProof/>
          <w:sz w:val="24"/>
          <w:szCs w:val="24"/>
          <w:lang w:val="en-US"/>
        </w:rPr>
        <w:t>[</w:t>
      </w:r>
      <w:hyperlink w:anchor="_ENREF_24" w:tooltip="Hoyle, 2015 #1389" w:history="1">
        <w:r w:rsidR="006D4086">
          <w:rPr>
            <w:rFonts w:ascii="Times New Roman" w:hAnsi="Times New Roman"/>
            <w:noProof/>
            <w:sz w:val="24"/>
            <w:szCs w:val="24"/>
            <w:lang w:val="en-US"/>
          </w:rPr>
          <w:t>1</w:t>
        </w:r>
      </w:hyperlink>
      <w:r w:rsidR="005B7055">
        <w:rPr>
          <w:rFonts w:ascii="Times New Roman" w:hAnsi="Times New Roman"/>
          <w:noProof/>
          <w:sz w:val="24"/>
          <w:szCs w:val="24"/>
          <w:lang w:val="en-US"/>
        </w:rPr>
        <w:t>]</w:t>
      </w:r>
      <w:r w:rsidR="00365949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5B7055">
        <w:rPr>
          <w:rFonts w:ascii="Times New Roman" w:hAnsi="Times New Roman"/>
          <w:sz w:val="24"/>
          <w:szCs w:val="24"/>
          <w:lang w:val="en-US"/>
        </w:rPr>
        <w:t>. The fit of the final model was also evaluated</w:t>
      </w:r>
      <w:r w:rsidR="005B7055" w:rsidRPr="005E30CF">
        <w:rPr>
          <w:rFonts w:ascii="Times New Roman" w:hAnsi="Times New Roman"/>
          <w:sz w:val="24"/>
          <w:szCs w:val="24"/>
          <w:lang w:val="en-US"/>
        </w:rPr>
        <w:t xml:space="preserve"> by </w:t>
      </w:r>
      <w:r w:rsidR="005B7055">
        <w:rPr>
          <w:rFonts w:ascii="Times New Roman" w:hAnsi="Times New Roman"/>
          <w:sz w:val="24"/>
          <w:szCs w:val="24"/>
          <w:lang w:val="en-US"/>
        </w:rPr>
        <w:t xml:space="preserve">the bootstrap method, specifically the </w:t>
      </w:r>
      <w:proofErr w:type="spellStart"/>
      <w:r w:rsidR="005B7055">
        <w:rPr>
          <w:rFonts w:ascii="Times New Roman" w:hAnsi="Times New Roman"/>
          <w:sz w:val="24"/>
          <w:szCs w:val="24"/>
          <w:lang w:val="en-US"/>
        </w:rPr>
        <w:t>Bollen</w:t>
      </w:r>
      <w:proofErr w:type="spellEnd"/>
      <w:r w:rsidR="005B7055">
        <w:rPr>
          <w:rFonts w:ascii="Times New Roman" w:hAnsi="Times New Roman"/>
          <w:sz w:val="24"/>
          <w:szCs w:val="24"/>
          <w:lang w:val="en-US"/>
        </w:rPr>
        <w:t xml:space="preserve">-Stine statistics </w:t>
      </w:r>
      <w:r w:rsidR="00365949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5B7055">
        <w:rPr>
          <w:rFonts w:ascii="Times New Roman" w:hAnsi="Times New Roman"/>
          <w:sz w:val="24"/>
          <w:szCs w:val="24"/>
          <w:lang w:val="en-US"/>
        </w:rPr>
        <w:instrText xml:space="preserve"> ADDIN EN.CITE &lt;EndNote&gt;&lt;Cite&gt;&lt;Author&gt;Hoyle&lt;/Author&gt;&lt;Year&gt;2015&lt;/Year&gt;&lt;RecNum&gt;1389&lt;/RecNum&gt;&lt;DisplayText&gt;[24]&lt;/DisplayText&gt;&lt;record&gt;&lt;rec-number&gt;1389&lt;/rec-number&gt;&lt;foreign-keys&gt;&lt;key app="EN" db-id="aad9r0xelffe22err24v50fovdvzsaa5rzsz"&gt;1389&lt;/key&gt;&lt;/foreign-keys&gt;&lt;ref-type name="Edited Book"&gt;28&lt;/ref-type&gt;&lt;contributors&gt;&lt;authors&gt;&lt;author&gt;Rick H. Hoyle&lt;/author&gt;&lt;/authors&gt;&lt;/contributors&gt;&lt;titles&gt;&lt;title&gt;Handbook of Structural Equation Modeling&lt;/title&gt;&lt;/titles&gt;&lt;dates&gt;&lt;year&gt;2015&lt;/year&gt;&lt;/dates&gt;&lt;urls&gt;&lt;/urls&gt;&lt;/record&gt;&lt;/Cite&gt;&lt;/EndNote&gt;</w:instrText>
      </w:r>
      <w:r w:rsidR="00365949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5B7055">
        <w:rPr>
          <w:rFonts w:ascii="Times New Roman" w:hAnsi="Times New Roman"/>
          <w:noProof/>
          <w:sz w:val="24"/>
          <w:szCs w:val="24"/>
          <w:lang w:val="en-US"/>
        </w:rPr>
        <w:t>[</w:t>
      </w:r>
      <w:hyperlink w:anchor="_ENREF_24" w:tooltip="Hoyle, 2015 #1389" w:history="1">
        <w:r w:rsidR="006D4086">
          <w:rPr>
            <w:rFonts w:ascii="Times New Roman" w:hAnsi="Times New Roman"/>
            <w:noProof/>
            <w:sz w:val="24"/>
            <w:szCs w:val="24"/>
            <w:lang w:val="en-US"/>
          </w:rPr>
          <w:t>1</w:t>
        </w:r>
      </w:hyperlink>
      <w:r w:rsidR="005B7055">
        <w:rPr>
          <w:rFonts w:ascii="Times New Roman" w:hAnsi="Times New Roman"/>
          <w:noProof/>
          <w:sz w:val="24"/>
          <w:szCs w:val="24"/>
          <w:lang w:val="en-US"/>
        </w:rPr>
        <w:t>]</w:t>
      </w:r>
      <w:r w:rsidR="00365949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5B7055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5B7055" w:rsidRPr="005E30CF">
        <w:rPr>
          <w:rFonts w:ascii="Times New Roman" w:hAnsi="Times New Roman"/>
          <w:sz w:val="24"/>
          <w:szCs w:val="24"/>
          <w:lang w:val="en-US"/>
        </w:rPr>
        <w:t xml:space="preserve">For </w:t>
      </w:r>
      <w:r w:rsidR="005B7055">
        <w:rPr>
          <w:rFonts w:ascii="Times New Roman" w:hAnsi="Times New Roman"/>
          <w:sz w:val="24"/>
          <w:szCs w:val="24"/>
          <w:lang w:val="en-US"/>
        </w:rPr>
        <w:t>path analysis</w:t>
      </w:r>
      <w:r w:rsidR="005B7055" w:rsidRPr="005E30C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7055">
        <w:rPr>
          <w:rFonts w:ascii="Times New Roman" w:hAnsi="Times New Roman"/>
          <w:sz w:val="24"/>
          <w:szCs w:val="24"/>
          <w:lang w:val="en-US"/>
        </w:rPr>
        <w:t xml:space="preserve">all </w:t>
      </w:r>
      <w:r w:rsidR="005B7055" w:rsidRPr="005E30CF">
        <w:rPr>
          <w:rFonts w:ascii="Times New Roman" w:hAnsi="Times New Roman"/>
          <w:sz w:val="24"/>
          <w:szCs w:val="24"/>
          <w:lang w:val="en-US"/>
        </w:rPr>
        <w:t xml:space="preserve">continuous variables were expressed as quartiles </w:t>
      </w:r>
      <w:r w:rsidR="005B7055">
        <w:rPr>
          <w:rFonts w:ascii="Times New Roman" w:hAnsi="Times New Roman"/>
          <w:sz w:val="24"/>
          <w:szCs w:val="24"/>
          <w:lang w:val="en-US"/>
        </w:rPr>
        <w:t xml:space="preserve">in order </w:t>
      </w:r>
      <w:r w:rsidR="005B7055" w:rsidRPr="005E30CF">
        <w:rPr>
          <w:rFonts w:ascii="Times New Roman" w:hAnsi="Times New Roman"/>
          <w:sz w:val="24"/>
          <w:szCs w:val="24"/>
          <w:lang w:val="en-US"/>
        </w:rPr>
        <w:t xml:space="preserve">to reduce possible </w:t>
      </w:r>
      <w:r w:rsidR="005B7055">
        <w:rPr>
          <w:rFonts w:ascii="Times New Roman" w:hAnsi="Times New Roman"/>
          <w:sz w:val="24"/>
          <w:szCs w:val="24"/>
          <w:lang w:val="en-US"/>
        </w:rPr>
        <w:t>effects</w:t>
      </w:r>
      <w:r w:rsidR="005B7055" w:rsidRPr="005E30C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7055">
        <w:rPr>
          <w:rFonts w:ascii="Times New Roman" w:hAnsi="Times New Roman"/>
          <w:sz w:val="24"/>
          <w:szCs w:val="24"/>
          <w:lang w:val="en-US"/>
        </w:rPr>
        <w:t>of</w:t>
      </w:r>
      <w:r w:rsidR="005B7055" w:rsidRPr="005E30CF">
        <w:rPr>
          <w:rFonts w:ascii="Times New Roman" w:hAnsi="Times New Roman"/>
          <w:sz w:val="24"/>
          <w:szCs w:val="24"/>
          <w:lang w:val="en-US"/>
        </w:rPr>
        <w:t xml:space="preserve"> peculiar distributions of single variables. </w:t>
      </w:r>
      <w:r w:rsidR="005B7055">
        <w:rPr>
          <w:rFonts w:ascii="Times New Roman" w:hAnsi="Times New Roman"/>
          <w:sz w:val="24"/>
          <w:szCs w:val="24"/>
          <w:lang w:val="en-US"/>
        </w:rPr>
        <w:t xml:space="preserve">Moreover, to reduce the interference </w:t>
      </w:r>
      <w:r w:rsidR="005B7055" w:rsidRPr="005E30CF">
        <w:rPr>
          <w:rFonts w:ascii="Times New Roman" w:hAnsi="Times New Roman"/>
          <w:sz w:val="24"/>
          <w:szCs w:val="24"/>
          <w:lang w:val="en-US"/>
        </w:rPr>
        <w:t>with gender</w:t>
      </w:r>
      <w:r w:rsidR="005B7055">
        <w:rPr>
          <w:rFonts w:ascii="Times New Roman" w:hAnsi="Times New Roman"/>
          <w:sz w:val="24"/>
          <w:szCs w:val="24"/>
          <w:lang w:val="en-US"/>
        </w:rPr>
        <w:t>,</w:t>
      </w:r>
      <w:r w:rsidR="005B7055" w:rsidRPr="005E30CF">
        <w:rPr>
          <w:rFonts w:ascii="Times New Roman" w:hAnsi="Times New Roman"/>
          <w:sz w:val="24"/>
          <w:szCs w:val="24"/>
          <w:lang w:val="en-US"/>
        </w:rPr>
        <w:t xml:space="preserve"> quartiles were computed separately for males and females and subsequently pooled.</w:t>
      </w:r>
    </w:p>
    <w:p w:rsidR="006605A2" w:rsidRPr="00D15962" w:rsidRDefault="006605A2" w:rsidP="006605A2">
      <w:pPr>
        <w:spacing w:line="48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D15962">
        <w:rPr>
          <w:rFonts w:ascii="Times New Roman" w:hAnsi="Times New Roman"/>
          <w:b/>
          <w:sz w:val="32"/>
          <w:szCs w:val="32"/>
          <w:lang w:val="en-US"/>
        </w:rPr>
        <w:t>Results of linear and logistic regression analyses</w:t>
      </w:r>
    </w:p>
    <w:p w:rsidR="006605A2" w:rsidRDefault="006605A2" w:rsidP="006605A2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To construct the path analysis model we performed conventional multivariate analyses between different sets of variables. As a first step we determined the relationship between risk factors and comorbidities. For this purpose t</w:t>
      </w:r>
      <w:r w:rsidRPr="005E30CF">
        <w:rPr>
          <w:rFonts w:ascii="Times New Roman" w:hAnsi="Times New Roman"/>
          <w:sz w:val="24"/>
          <w:szCs w:val="24"/>
          <w:lang w:val="en-US"/>
        </w:rPr>
        <w:t xml:space="preserve">he </w:t>
      </w:r>
      <w:r>
        <w:rPr>
          <w:rFonts w:ascii="Times New Roman" w:hAnsi="Times New Roman"/>
          <w:sz w:val="24"/>
          <w:szCs w:val="24"/>
          <w:lang w:val="en-US"/>
        </w:rPr>
        <w:t xml:space="preserve">statistical </w:t>
      </w:r>
      <w:r w:rsidRPr="005E30CF">
        <w:rPr>
          <w:rFonts w:ascii="Times New Roman" w:hAnsi="Times New Roman"/>
          <w:sz w:val="24"/>
          <w:szCs w:val="24"/>
          <w:lang w:val="en-US"/>
        </w:rPr>
        <w:t xml:space="preserve">dependence of </w:t>
      </w:r>
      <w:r>
        <w:rPr>
          <w:rFonts w:ascii="Times New Roman" w:hAnsi="Times New Roman"/>
          <w:sz w:val="24"/>
          <w:szCs w:val="24"/>
          <w:lang w:val="en-US"/>
        </w:rPr>
        <w:t>hyper</w:t>
      </w:r>
      <w:r w:rsidRPr="005E30CF">
        <w:rPr>
          <w:rFonts w:ascii="Times New Roman" w:hAnsi="Times New Roman"/>
          <w:sz w:val="24"/>
          <w:szCs w:val="24"/>
          <w:lang w:val="en-US"/>
        </w:rPr>
        <w:t xml:space="preserve">lipidemia, diabetes and cardiovascular complex on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predictors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age, BMI,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packyears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and gender</w:t>
      </w:r>
      <w:r w:rsidRPr="005E30CF">
        <w:rPr>
          <w:rFonts w:ascii="Times New Roman" w:hAnsi="Times New Roman"/>
          <w:sz w:val="24"/>
          <w:szCs w:val="24"/>
          <w:lang w:val="en-US"/>
        </w:rPr>
        <w:t xml:space="preserve"> was evaluated </w:t>
      </w:r>
      <w:r>
        <w:rPr>
          <w:rFonts w:ascii="Times New Roman" w:hAnsi="Times New Roman"/>
          <w:sz w:val="24"/>
          <w:szCs w:val="24"/>
          <w:lang w:val="en-US"/>
        </w:rPr>
        <w:t>via</w:t>
      </w:r>
      <w:r w:rsidRPr="005E30CF">
        <w:rPr>
          <w:rFonts w:ascii="Times New Roman" w:hAnsi="Times New Roman"/>
          <w:sz w:val="24"/>
          <w:szCs w:val="24"/>
          <w:lang w:val="en-US"/>
        </w:rPr>
        <w:t xml:space="preserve"> binary logistic regression analysis (</w:t>
      </w:r>
      <w:r w:rsidR="00A10747">
        <w:rPr>
          <w:rFonts w:ascii="Times New Roman" w:hAnsi="Times New Roman"/>
          <w:sz w:val="24"/>
          <w:szCs w:val="24"/>
          <w:lang w:val="en-US"/>
        </w:rPr>
        <w:t>T</w:t>
      </w:r>
      <w:r w:rsidRPr="005E30CF">
        <w:rPr>
          <w:rFonts w:ascii="Times New Roman" w:hAnsi="Times New Roman"/>
          <w:sz w:val="24"/>
          <w:szCs w:val="24"/>
          <w:lang w:val="en-US"/>
        </w:rPr>
        <w:t>able</w:t>
      </w:r>
      <w:r w:rsidR="00D87F79">
        <w:rPr>
          <w:rFonts w:ascii="Times New Roman" w:hAnsi="Times New Roman"/>
          <w:sz w:val="24"/>
          <w:szCs w:val="24"/>
          <w:lang w:val="en-US"/>
        </w:rPr>
        <w:t xml:space="preserve"> A</w:t>
      </w:r>
      <w:r w:rsidRPr="005E30CF">
        <w:rPr>
          <w:rFonts w:ascii="Times New Roman" w:hAnsi="Times New Roman"/>
          <w:sz w:val="24"/>
          <w:szCs w:val="24"/>
          <w:lang w:val="en-US"/>
        </w:rPr>
        <w:t xml:space="preserve">). </w:t>
      </w:r>
      <w:r>
        <w:rPr>
          <w:rFonts w:ascii="Times New Roman" w:hAnsi="Times New Roman"/>
          <w:sz w:val="24"/>
          <w:szCs w:val="24"/>
          <w:lang w:val="en-US"/>
        </w:rPr>
        <w:lastRenderedPageBreak/>
        <w:t>Hyper</w:t>
      </w:r>
      <w:r w:rsidRPr="005E30CF">
        <w:rPr>
          <w:rFonts w:ascii="Times New Roman" w:hAnsi="Times New Roman"/>
          <w:sz w:val="24"/>
          <w:szCs w:val="24"/>
          <w:lang w:val="en-US"/>
        </w:rPr>
        <w:t>lipidemia significantly depended on BMI and age (p&lt;0.001 each), diabetes on BMI, gender and age (p</w:t>
      </w:r>
      <w:r w:rsidRPr="005E30CF">
        <w:rPr>
          <w:rFonts w:ascii="Times New Roman" w:hAnsi="Times New Roman"/>
          <w:sz w:val="24"/>
          <w:szCs w:val="24"/>
        </w:rPr>
        <w:sym w:font="Symbol" w:char="F0A3"/>
      </w:r>
      <w:r w:rsidRPr="005E30CF">
        <w:rPr>
          <w:rFonts w:ascii="Times New Roman" w:hAnsi="Times New Roman"/>
          <w:sz w:val="24"/>
          <w:szCs w:val="24"/>
          <w:lang w:val="en-US"/>
        </w:rPr>
        <w:t xml:space="preserve">0.001 each), and cardiovascular complex on BMI and age (p&lt;0.001 each) as well as gender (p=0.046). </w:t>
      </w:r>
    </w:p>
    <w:p w:rsidR="008224BB" w:rsidRPr="008224BB" w:rsidRDefault="008224BB" w:rsidP="008224BB">
      <w:pPr>
        <w:rPr>
          <w:rFonts w:ascii="Times New Roman" w:hAnsi="Times New Roman"/>
          <w:b/>
          <w:sz w:val="24"/>
          <w:szCs w:val="24"/>
          <w:lang w:val="en-US"/>
        </w:rPr>
      </w:pPr>
      <w:r w:rsidRPr="00125FB0">
        <w:rPr>
          <w:rFonts w:ascii="Times New Roman" w:hAnsi="Times New Roman"/>
          <w:b/>
          <w:sz w:val="24"/>
          <w:szCs w:val="24"/>
          <w:lang w:val="en-US"/>
        </w:rPr>
        <w:t>Table</w:t>
      </w:r>
      <w:r w:rsidR="00900EBA">
        <w:rPr>
          <w:rFonts w:ascii="Times New Roman" w:hAnsi="Times New Roman"/>
          <w:b/>
          <w:sz w:val="24"/>
          <w:szCs w:val="24"/>
          <w:lang w:val="en-US"/>
        </w:rPr>
        <w:t xml:space="preserve"> A</w:t>
      </w:r>
      <w:r w:rsidR="00D15962">
        <w:rPr>
          <w:rFonts w:ascii="Times New Roman" w:hAnsi="Times New Roman"/>
          <w:b/>
          <w:sz w:val="24"/>
          <w:szCs w:val="24"/>
          <w:lang w:val="en-US"/>
        </w:rPr>
        <w:t>.</w:t>
      </w:r>
      <w:r w:rsidRPr="00125FB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D</w:t>
      </w:r>
      <w:r w:rsidRPr="00B02E58">
        <w:rPr>
          <w:rFonts w:ascii="Times New Roman" w:hAnsi="Times New Roman"/>
          <w:b/>
          <w:sz w:val="24"/>
          <w:szCs w:val="24"/>
          <w:lang w:val="en-US"/>
        </w:rPr>
        <w:t xml:space="preserve">ependence of </w:t>
      </w:r>
      <w:r>
        <w:rPr>
          <w:rFonts w:ascii="Times New Roman" w:hAnsi="Times New Roman"/>
          <w:b/>
          <w:sz w:val="24"/>
          <w:szCs w:val="24"/>
          <w:lang w:val="en-US"/>
        </w:rPr>
        <w:t>hyper</w:t>
      </w:r>
      <w:r w:rsidRPr="00B02E58">
        <w:rPr>
          <w:rFonts w:ascii="Times New Roman" w:hAnsi="Times New Roman"/>
          <w:b/>
          <w:sz w:val="24"/>
          <w:szCs w:val="24"/>
          <w:lang w:val="en-US"/>
        </w:rPr>
        <w:t xml:space="preserve">lipidemia, diabetes and cardiovascular complex on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the four selected </w:t>
      </w:r>
      <w:r w:rsidRPr="00845970">
        <w:rPr>
          <w:rFonts w:ascii="Times New Roman" w:hAnsi="Times New Roman"/>
          <w:b/>
          <w:sz w:val="24"/>
          <w:szCs w:val="24"/>
          <w:lang w:val="en-US"/>
        </w:rPr>
        <w:t xml:space="preserve">risk factors BMI, </w:t>
      </w:r>
      <w:proofErr w:type="spellStart"/>
      <w:r w:rsidRPr="00845970">
        <w:rPr>
          <w:rFonts w:ascii="Times New Roman" w:hAnsi="Times New Roman"/>
          <w:b/>
          <w:sz w:val="24"/>
          <w:szCs w:val="24"/>
          <w:lang w:val="en-US"/>
        </w:rPr>
        <w:t>packyears</w:t>
      </w:r>
      <w:proofErr w:type="spellEnd"/>
      <w:r w:rsidRPr="00845970">
        <w:rPr>
          <w:rFonts w:ascii="Times New Roman" w:hAnsi="Times New Roman"/>
          <w:b/>
          <w:sz w:val="24"/>
          <w:szCs w:val="24"/>
          <w:lang w:val="en-US"/>
        </w:rPr>
        <w:t>, age and gender</w:t>
      </w:r>
    </w:p>
    <w:tbl>
      <w:tblPr>
        <w:tblStyle w:val="HelleSchattierung"/>
        <w:tblW w:w="14830" w:type="dxa"/>
        <w:tblLayout w:type="fixed"/>
        <w:tblLook w:val="04A0" w:firstRow="1" w:lastRow="0" w:firstColumn="1" w:lastColumn="0" w:noHBand="0" w:noVBand="1"/>
      </w:tblPr>
      <w:tblGrid>
        <w:gridCol w:w="2966"/>
        <w:gridCol w:w="2966"/>
        <w:gridCol w:w="2966"/>
        <w:gridCol w:w="2966"/>
        <w:gridCol w:w="2966"/>
      </w:tblGrid>
      <w:tr w:rsidR="008224BB" w:rsidRPr="001C75CA" w:rsidTr="006908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</w:tcPr>
          <w:p w:rsidR="008224BB" w:rsidRPr="001C75CA" w:rsidRDefault="008224BB" w:rsidP="00690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CA">
              <w:rPr>
                <w:rFonts w:ascii="Times New Roman" w:hAnsi="Times New Roman"/>
                <w:sz w:val="24"/>
                <w:szCs w:val="24"/>
              </w:rPr>
              <w:t>Parameter</w:t>
            </w:r>
          </w:p>
        </w:tc>
        <w:tc>
          <w:tcPr>
            <w:tcW w:w="2966" w:type="dxa"/>
          </w:tcPr>
          <w:p w:rsidR="008224BB" w:rsidRPr="0052795E" w:rsidRDefault="008224BB" w:rsidP="0069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BMI (kg/m²)</w:t>
            </w:r>
          </w:p>
        </w:tc>
        <w:tc>
          <w:tcPr>
            <w:tcW w:w="2966" w:type="dxa"/>
          </w:tcPr>
          <w:p w:rsidR="008224BB" w:rsidRPr="001C75CA" w:rsidRDefault="008224BB" w:rsidP="0069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Packyears</w:t>
            </w:r>
            <w:proofErr w:type="spellEnd"/>
          </w:p>
        </w:tc>
        <w:tc>
          <w:tcPr>
            <w:tcW w:w="2966" w:type="dxa"/>
          </w:tcPr>
          <w:p w:rsidR="008224BB" w:rsidRDefault="008224BB" w:rsidP="0069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 (y)</w:t>
            </w:r>
          </w:p>
        </w:tc>
        <w:tc>
          <w:tcPr>
            <w:tcW w:w="2966" w:type="dxa"/>
          </w:tcPr>
          <w:p w:rsidR="008224BB" w:rsidRDefault="008224BB" w:rsidP="0069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Gender</w:t>
            </w:r>
          </w:p>
        </w:tc>
      </w:tr>
      <w:tr w:rsidR="008224BB" w:rsidRPr="001C75CA" w:rsidTr="00690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</w:tcPr>
          <w:p w:rsidR="008224BB" w:rsidRPr="001C75CA" w:rsidRDefault="008224BB" w:rsidP="006908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Hyperlipidemia</w:t>
            </w:r>
            <w:proofErr w:type="spellEnd"/>
          </w:p>
        </w:tc>
        <w:tc>
          <w:tcPr>
            <w:tcW w:w="2966" w:type="dxa"/>
          </w:tcPr>
          <w:p w:rsidR="008224BB" w:rsidRPr="001C75CA" w:rsidRDefault="008224BB" w:rsidP="00690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 (1.03; 1.07)**</w:t>
            </w:r>
          </w:p>
        </w:tc>
        <w:tc>
          <w:tcPr>
            <w:tcW w:w="2966" w:type="dxa"/>
          </w:tcPr>
          <w:p w:rsidR="008224BB" w:rsidRPr="001C75CA" w:rsidRDefault="008224BB" w:rsidP="00690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 (1.00; 1.01)</w:t>
            </w:r>
          </w:p>
        </w:tc>
        <w:tc>
          <w:tcPr>
            <w:tcW w:w="2966" w:type="dxa"/>
          </w:tcPr>
          <w:p w:rsidR="008224BB" w:rsidRDefault="008224BB" w:rsidP="00690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 (1.02; 1.04)**</w:t>
            </w:r>
          </w:p>
        </w:tc>
        <w:tc>
          <w:tcPr>
            <w:tcW w:w="2966" w:type="dxa"/>
          </w:tcPr>
          <w:p w:rsidR="008224BB" w:rsidRDefault="008224BB" w:rsidP="00690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p=0.189</w:t>
            </w:r>
          </w:p>
        </w:tc>
      </w:tr>
      <w:tr w:rsidR="008224BB" w:rsidRPr="001C75CA" w:rsidTr="0069084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</w:tcPr>
          <w:p w:rsidR="008224BB" w:rsidRPr="001C75CA" w:rsidRDefault="008224BB" w:rsidP="006908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Diabetes </w:t>
            </w:r>
          </w:p>
        </w:tc>
        <w:tc>
          <w:tcPr>
            <w:tcW w:w="2966" w:type="dxa"/>
          </w:tcPr>
          <w:p w:rsidR="008224BB" w:rsidRPr="001C75CA" w:rsidRDefault="008224BB" w:rsidP="0069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 (1.11; 1.17)**</w:t>
            </w:r>
          </w:p>
        </w:tc>
        <w:tc>
          <w:tcPr>
            <w:tcW w:w="2966" w:type="dxa"/>
          </w:tcPr>
          <w:p w:rsidR="008224BB" w:rsidRPr="001C75CA" w:rsidRDefault="008224BB" w:rsidP="0069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 (1.00; 1.01)</w:t>
            </w:r>
          </w:p>
        </w:tc>
        <w:tc>
          <w:tcPr>
            <w:tcW w:w="2966" w:type="dxa"/>
          </w:tcPr>
          <w:p w:rsidR="008224BB" w:rsidRDefault="008224BB" w:rsidP="0069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 (1.01; 1.05)**</w:t>
            </w:r>
          </w:p>
        </w:tc>
        <w:tc>
          <w:tcPr>
            <w:tcW w:w="2966" w:type="dxa"/>
          </w:tcPr>
          <w:p w:rsidR="008224BB" w:rsidRDefault="008224BB" w:rsidP="0069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p&lt;0.001**</w:t>
            </w:r>
          </w:p>
        </w:tc>
      </w:tr>
      <w:tr w:rsidR="008224BB" w:rsidRPr="001C75CA" w:rsidTr="00690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</w:tcPr>
          <w:p w:rsidR="008224BB" w:rsidRPr="001C75CA" w:rsidRDefault="008224BB" w:rsidP="006908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Cardiovascular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Complex</w:t>
            </w:r>
            <w:proofErr w:type="spellEnd"/>
          </w:p>
        </w:tc>
        <w:tc>
          <w:tcPr>
            <w:tcW w:w="2966" w:type="dxa"/>
          </w:tcPr>
          <w:p w:rsidR="008224BB" w:rsidRPr="001C75CA" w:rsidRDefault="008224BB" w:rsidP="00690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F51F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10 (1.08; 1.12)**</w:t>
            </w:r>
          </w:p>
        </w:tc>
        <w:tc>
          <w:tcPr>
            <w:tcW w:w="2966" w:type="dxa"/>
          </w:tcPr>
          <w:p w:rsidR="008224BB" w:rsidRPr="001C75CA" w:rsidRDefault="008224BB" w:rsidP="00690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 (1.00; 1.00)</w:t>
            </w:r>
          </w:p>
        </w:tc>
        <w:tc>
          <w:tcPr>
            <w:tcW w:w="2966" w:type="dxa"/>
          </w:tcPr>
          <w:p w:rsidR="008224BB" w:rsidRDefault="008224BB" w:rsidP="00690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 (1.05; 1.08)**</w:t>
            </w:r>
          </w:p>
        </w:tc>
        <w:tc>
          <w:tcPr>
            <w:tcW w:w="2966" w:type="dxa"/>
          </w:tcPr>
          <w:p w:rsidR="008224BB" w:rsidRDefault="008224BB" w:rsidP="00690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p=0.046</w:t>
            </w:r>
          </w:p>
        </w:tc>
      </w:tr>
    </w:tbl>
    <w:p w:rsidR="008224BB" w:rsidRDefault="008224BB" w:rsidP="008224BB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table shows the results of b</w:t>
      </w:r>
      <w:r w:rsidRPr="00B02E58">
        <w:rPr>
          <w:rFonts w:ascii="Times New Roman" w:hAnsi="Times New Roman"/>
          <w:sz w:val="24"/>
          <w:szCs w:val="24"/>
          <w:lang w:val="en-US"/>
        </w:rPr>
        <w:t>inary logistic regression analys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B02E58">
        <w:rPr>
          <w:rFonts w:ascii="Times New Roman" w:hAnsi="Times New Roman"/>
          <w:sz w:val="24"/>
          <w:szCs w:val="24"/>
          <w:lang w:val="en-US"/>
        </w:rPr>
        <w:t xml:space="preserve">s </w:t>
      </w:r>
      <w:r>
        <w:rPr>
          <w:rFonts w:ascii="Times New Roman" w:hAnsi="Times New Roman"/>
          <w:sz w:val="24"/>
          <w:szCs w:val="24"/>
          <w:lang w:val="en-US"/>
        </w:rPr>
        <w:t xml:space="preserve">and illustrates the </w:t>
      </w:r>
      <w:r w:rsidRPr="00B02E58">
        <w:rPr>
          <w:rFonts w:ascii="Times New Roman" w:hAnsi="Times New Roman"/>
          <w:sz w:val="24"/>
          <w:szCs w:val="24"/>
          <w:lang w:val="en-US"/>
        </w:rPr>
        <w:t>relationship between comorbidities</w:t>
      </w:r>
      <w:r>
        <w:rPr>
          <w:rFonts w:ascii="Times New Roman" w:hAnsi="Times New Roman"/>
          <w:sz w:val="24"/>
          <w:szCs w:val="24"/>
          <w:lang w:val="en-US"/>
        </w:rPr>
        <w:t xml:space="preserve"> and predictors. The table shows the Odds ratios as well as 95%-confidence intervals, except for gender as a binary variable. The associations marked with (**) were highly significant </w:t>
      </w:r>
      <w:r w:rsidRPr="00B02E58">
        <w:rPr>
          <w:rFonts w:ascii="Times New Roman" w:hAnsi="Times New Roman"/>
          <w:sz w:val="24"/>
          <w:szCs w:val="24"/>
          <w:lang w:val="en-US"/>
        </w:rPr>
        <w:t>(p≤0.001</w:t>
      </w:r>
      <w:r>
        <w:rPr>
          <w:rFonts w:ascii="Times New Roman" w:hAnsi="Times New Roman"/>
          <w:sz w:val="24"/>
          <w:szCs w:val="24"/>
          <w:lang w:val="en-US"/>
        </w:rPr>
        <w:t>).</w:t>
      </w:r>
    </w:p>
    <w:p w:rsidR="008224BB" w:rsidRPr="005E30CF" w:rsidRDefault="008224BB" w:rsidP="008224BB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6605A2" w:rsidRDefault="006605A2" w:rsidP="006605A2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E30CF">
        <w:rPr>
          <w:rFonts w:ascii="Times New Roman" w:hAnsi="Times New Roman"/>
          <w:sz w:val="24"/>
          <w:szCs w:val="24"/>
          <w:lang w:val="en-US"/>
        </w:rPr>
        <w:t xml:space="preserve">In a similar fashion, the </w:t>
      </w:r>
      <w:r>
        <w:rPr>
          <w:rFonts w:ascii="Times New Roman" w:hAnsi="Times New Roman"/>
          <w:sz w:val="24"/>
          <w:szCs w:val="24"/>
          <w:lang w:val="en-US"/>
        </w:rPr>
        <w:t xml:space="preserve">statistical </w:t>
      </w:r>
      <w:r w:rsidRPr="005E30CF">
        <w:rPr>
          <w:rFonts w:ascii="Times New Roman" w:hAnsi="Times New Roman"/>
          <w:sz w:val="24"/>
          <w:szCs w:val="24"/>
          <w:lang w:val="en-US"/>
        </w:rPr>
        <w:t>dependence of lung function on risk factors</w:t>
      </w:r>
      <w:r>
        <w:rPr>
          <w:rFonts w:ascii="Times New Roman" w:hAnsi="Times New Roman"/>
          <w:sz w:val="24"/>
          <w:szCs w:val="24"/>
          <w:lang w:val="en-US"/>
        </w:rPr>
        <w:t xml:space="preserve"> was assessed via </w:t>
      </w:r>
      <w:r w:rsidRPr="006D40A3">
        <w:rPr>
          <w:rFonts w:ascii="Times New Roman" w:hAnsi="Times New Roman"/>
          <w:sz w:val="24"/>
          <w:szCs w:val="24"/>
          <w:lang w:val="en-US"/>
        </w:rPr>
        <w:t>multivariate regression analysis (</w:t>
      </w:r>
      <w:r w:rsidR="00A10747">
        <w:rPr>
          <w:rFonts w:ascii="Times New Roman" w:hAnsi="Times New Roman"/>
          <w:sz w:val="24"/>
          <w:szCs w:val="24"/>
          <w:lang w:val="en-US"/>
        </w:rPr>
        <w:t>T</w:t>
      </w:r>
      <w:r w:rsidRPr="006D40A3">
        <w:rPr>
          <w:rFonts w:ascii="Times New Roman" w:hAnsi="Times New Roman"/>
          <w:sz w:val="24"/>
          <w:szCs w:val="24"/>
          <w:lang w:val="en-US"/>
        </w:rPr>
        <w:t>able</w:t>
      </w:r>
      <w:r w:rsidR="00D87F79">
        <w:rPr>
          <w:rFonts w:ascii="Times New Roman" w:hAnsi="Times New Roman"/>
          <w:sz w:val="24"/>
          <w:szCs w:val="24"/>
          <w:lang w:val="en-US"/>
        </w:rPr>
        <w:t xml:space="preserve"> B</w:t>
      </w:r>
      <w:r w:rsidRPr="006D40A3">
        <w:rPr>
          <w:rFonts w:ascii="Times New Roman" w:hAnsi="Times New Roman"/>
          <w:sz w:val="24"/>
          <w:szCs w:val="24"/>
          <w:lang w:val="en-US"/>
        </w:rPr>
        <w:t>). This revealed a significant (p&lt;0.001 each) relationship between FEV</w:t>
      </w:r>
      <w:r w:rsidRPr="006D40A3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6D40A3">
        <w:rPr>
          <w:rFonts w:ascii="Times New Roman" w:hAnsi="Times New Roman"/>
          <w:sz w:val="24"/>
          <w:szCs w:val="24"/>
          <w:lang w:val="en-US"/>
        </w:rPr>
        <w:t xml:space="preserve">%predicted and </w:t>
      </w:r>
      <w:r>
        <w:rPr>
          <w:rFonts w:ascii="Times New Roman" w:hAnsi="Times New Roman"/>
          <w:sz w:val="24"/>
          <w:szCs w:val="24"/>
          <w:lang w:val="en-US"/>
        </w:rPr>
        <w:t xml:space="preserve">the predictors </w:t>
      </w:r>
      <w:r w:rsidRPr="006D40A3">
        <w:rPr>
          <w:rFonts w:ascii="Times New Roman" w:hAnsi="Times New Roman"/>
          <w:sz w:val="24"/>
          <w:szCs w:val="24"/>
          <w:lang w:val="en-US"/>
        </w:rPr>
        <w:t xml:space="preserve">age, BMI and gender but not </w:t>
      </w:r>
      <w:proofErr w:type="spellStart"/>
      <w:r w:rsidRPr="006D40A3">
        <w:rPr>
          <w:rFonts w:ascii="Times New Roman" w:hAnsi="Times New Roman"/>
          <w:sz w:val="24"/>
          <w:szCs w:val="24"/>
          <w:lang w:val="en-US"/>
        </w:rPr>
        <w:t>packyears</w:t>
      </w:r>
      <w:proofErr w:type="spellEnd"/>
      <w:r w:rsidRPr="006D40A3">
        <w:rPr>
          <w:rFonts w:ascii="Times New Roman" w:hAnsi="Times New Roman"/>
          <w:sz w:val="24"/>
          <w:szCs w:val="24"/>
          <w:lang w:val="en-US"/>
        </w:rPr>
        <w:t>, whereas there were no significant associations</w:t>
      </w:r>
      <w:r w:rsidRPr="005E30C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Pr="005E30C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E30CF">
        <w:rPr>
          <w:rFonts w:ascii="Times New Roman" w:hAnsi="Times New Roman"/>
          <w:sz w:val="24"/>
          <w:szCs w:val="24"/>
          <w:lang w:val="en-US"/>
        </w:rPr>
        <w:t>FVC%pred</w:t>
      </w:r>
      <w:proofErr w:type="spellEnd"/>
      <w:r w:rsidRPr="005E30CF">
        <w:rPr>
          <w:rFonts w:ascii="Times New Roman" w:hAnsi="Times New Roman"/>
          <w:sz w:val="24"/>
          <w:szCs w:val="24"/>
          <w:lang w:val="en-US"/>
        </w:rPr>
        <w:t xml:space="preserve"> or FEV</w:t>
      </w:r>
      <w:r w:rsidRPr="005E30CF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5E30CF">
        <w:rPr>
          <w:rFonts w:ascii="Times New Roman" w:hAnsi="Times New Roman"/>
          <w:sz w:val="24"/>
          <w:szCs w:val="24"/>
          <w:lang w:val="en-US"/>
        </w:rPr>
        <w:t>/FVC. The same pattern as for FEV</w:t>
      </w:r>
      <w:r w:rsidRPr="005E30CF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5E30CF">
        <w:rPr>
          <w:rFonts w:ascii="Times New Roman" w:hAnsi="Times New Roman"/>
          <w:sz w:val="24"/>
          <w:szCs w:val="24"/>
          <w:lang w:val="en-US"/>
        </w:rPr>
        <w:t xml:space="preserve">%pred was observed for </w:t>
      </w:r>
      <w:proofErr w:type="spellStart"/>
      <w:r w:rsidRPr="005E30CF">
        <w:rPr>
          <w:rFonts w:ascii="Times New Roman" w:hAnsi="Times New Roman"/>
          <w:sz w:val="24"/>
          <w:szCs w:val="24"/>
          <w:lang w:val="en-US"/>
        </w:rPr>
        <w:t>ITGV%pred</w:t>
      </w:r>
      <w:proofErr w:type="spellEnd"/>
      <w:r w:rsidRPr="005E30CF">
        <w:rPr>
          <w:rFonts w:ascii="Times New Roman" w:hAnsi="Times New Roman"/>
          <w:sz w:val="24"/>
          <w:szCs w:val="24"/>
          <w:lang w:val="en-US"/>
        </w:rPr>
        <w:t xml:space="preserve"> (p&lt;0.001 each). </w:t>
      </w:r>
      <w:proofErr w:type="spellStart"/>
      <w:r w:rsidRPr="005E30CF">
        <w:rPr>
          <w:rFonts w:ascii="Times New Roman" w:hAnsi="Times New Roman"/>
          <w:sz w:val="24"/>
          <w:szCs w:val="24"/>
          <w:lang w:val="en-US"/>
        </w:rPr>
        <w:t>TLCO%pred</w:t>
      </w:r>
      <w:proofErr w:type="spellEnd"/>
      <w:r w:rsidRPr="005E30CF">
        <w:rPr>
          <w:rFonts w:ascii="Times New Roman" w:hAnsi="Times New Roman"/>
          <w:sz w:val="24"/>
          <w:szCs w:val="24"/>
          <w:lang w:val="en-US"/>
        </w:rPr>
        <w:t xml:space="preserve"> showed a </w:t>
      </w:r>
      <w:r>
        <w:rPr>
          <w:rFonts w:ascii="Times New Roman" w:hAnsi="Times New Roman"/>
          <w:sz w:val="24"/>
          <w:szCs w:val="24"/>
          <w:lang w:val="en-US"/>
        </w:rPr>
        <w:t xml:space="preserve">statistical </w:t>
      </w:r>
      <w:r w:rsidRPr="005E30CF">
        <w:rPr>
          <w:rFonts w:ascii="Times New Roman" w:hAnsi="Times New Roman"/>
          <w:sz w:val="24"/>
          <w:szCs w:val="24"/>
          <w:lang w:val="en-US"/>
        </w:rPr>
        <w:t xml:space="preserve">dependence on BMI, </w:t>
      </w:r>
      <w:proofErr w:type="spellStart"/>
      <w:r w:rsidRPr="005E30CF">
        <w:rPr>
          <w:rFonts w:ascii="Times New Roman" w:hAnsi="Times New Roman"/>
          <w:sz w:val="24"/>
          <w:szCs w:val="24"/>
          <w:lang w:val="en-US"/>
        </w:rPr>
        <w:t>packyears</w:t>
      </w:r>
      <w:proofErr w:type="spellEnd"/>
      <w:r w:rsidRPr="005E30CF">
        <w:rPr>
          <w:rFonts w:ascii="Times New Roman" w:hAnsi="Times New Roman"/>
          <w:sz w:val="24"/>
          <w:szCs w:val="24"/>
          <w:lang w:val="en-US"/>
        </w:rPr>
        <w:t xml:space="preserve"> and gender (p&lt;0.001 each) but not age, and </w:t>
      </w:r>
      <w:proofErr w:type="spellStart"/>
      <w:r w:rsidRPr="005E30CF">
        <w:rPr>
          <w:rFonts w:ascii="Times New Roman" w:hAnsi="Times New Roman"/>
          <w:sz w:val="24"/>
          <w:szCs w:val="24"/>
          <w:lang w:val="en-US"/>
        </w:rPr>
        <w:t>KCO%pred</w:t>
      </w:r>
      <w:proofErr w:type="spellEnd"/>
      <w:r w:rsidRPr="005E30CF">
        <w:rPr>
          <w:rFonts w:ascii="Times New Roman" w:hAnsi="Times New Roman"/>
          <w:sz w:val="24"/>
          <w:szCs w:val="24"/>
          <w:lang w:val="en-US"/>
        </w:rPr>
        <w:t xml:space="preserve"> was additionally dependent on </w:t>
      </w:r>
      <w:proofErr w:type="spellStart"/>
      <w:r w:rsidRPr="005E30CF">
        <w:rPr>
          <w:rFonts w:ascii="Times New Roman" w:hAnsi="Times New Roman"/>
          <w:sz w:val="24"/>
          <w:szCs w:val="24"/>
          <w:lang w:val="en-US"/>
        </w:rPr>
        <w:t>packyears</w:t>
      </w:r>
      <w:proofErr w:type="spellEnd"/>
      <w:r w:rsidRPr="005E30CF">
        <w:rPr>
          <w:rFonts w:ascii="Times New Roman" w:hAnsi="Times New Roman"/>
          <w:sz w:val="24"/>
          <w:szCs w:val="24"/>
          <w:lang w:val="en-US"/>
        </w:rPr>
        <w:t xml:space="preserve"> (p&lt;0.001).</w:t>
      </w:r>
    </w:p>
    <w:p w:rsidR="008224BB" w:rsidRDefault="008224BB" w:rsidP="008224BB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B76F1" w:rsidRDefault="000B76F1" w:rsidP="008224BB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224BB" w:rsidRPr="008224BB" w:rsidRDefault="008224BB" w:rsidP="008224BB">
      <w:pPr>
        <w:rPr>
          <w:rFonts w:ascii="Times New Roman" w:hAnsi="Times New Roman"/>
          <w:b/>
          <w:sz w:val="24"/>
          <w:szCs w:val="24"/>
          <w:lang w:val="en-US"/>
        </w:rPr>
      </w:pPr>
      <w:r w:rsidRPr="00125FB0">
        <w:rPr>
          <w:rFonts w:ascii="Times New Roman" w:hAnsi="Times New Roman"/>
          <w:b/>
          <w:sz w:val="24"/>
          <w:szCs w:val="24"/>
          <w:lang w:val="en-US"/>
        </w:rPr>
        <w:lastRenderedPageBreak/>
        <w:t>Table</w:t>
      </w:r>
      <w:r w:rsidR="00900EBA">
        <w:rPr>
          <w:rFonts w:ascii="Times New Roman" w:hAnsi="Times New Roman"/>
          <w:b/>
          <w:sz w:val="24"/>
          <w:szCs w:val="24"/>
          <w:lang w:val="en-US"/>
        </w:rPr>
        <w:t xml:space="preserve"> B</w:t>
      </w:r>
      <w:r w:rsidR="00D15962">
        <w:rPr>
          <w:rFonts w:ascii="Times New Roman" w:hAnsi="Times New Roman"/>
          <w:b/>
          <w:sz w:val="24"/>
          <w:szCs w:val="24"/>
          <w:lang w:val="en-US"/>
        </w:rPr>
        <w:t>.</w:t>
      </w:r>
      <w:r w:rsidRPr="00125FB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Dependence of lung function parameters on the four selected risk factors BMI, age,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packyears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and gender</w:t>
      </w:r>
    </w:p>
    <w:tbl>
      <w:tblPr>
        <w:tblStyle w:val="HelleSchattierung"/>
        <w:tblW w:w="0" w:type="auto"/>
        <w:tblLayout w:type="fixed"/>
        <w:tblLook w:val="04A0" w:firstRow="1" w:lastRow="0" w:firstColumn="1" w:lastColumn="0" w:noHBand="0" w:noVBand="1"/>
      </w:tblPr>
      <w:tblGrid>
        <w:gridCol w:w="2674"/>
        <w:gridCol w:w="2674"/>
        <w:gridCol w:w="2674"/>
        <w:gridCol w:w="2674"/>
        <w:gridCol w:w="2674"/>
      </w:tblGrid>
      <w:tr w:rsidR="008224BB" w:rsidRPr="001C75CA" w:rsidTr="006908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</w:tcPr>
          <w:p w:rsidR="008224BB" w:rsidRPr="001C75CA" w:rsidRDefault="008224BB" w:rsidP="00690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CA">
              <w:rPr>
                <w:rFonts w:ascii="Times New Roman" w:hAnsi="Times New Roman"/>
                <w:sz w:val="24"/>
                <w:szCs w:val="24"/>
              </w:rPr>
              <w:t>Parameter</w:t>
            </w:r>
          </w:p>
        </w:tc>
        <w:tc>
          <w:tcPr>
            <w:tcW w:w="2674" w:type="dxa"/>
          </w:tcPr>
          <w:p w:rsidR="008224BB" w:rsidRPr="001F78CB" w:rsidRDefault="008224BB" w:rsidP="0069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BMI (kg/m²)</w:t>
            </w:r>
          </w:p>
        </w:tc>
        <w:tc>
          <w:tcPr>
            <w:tcW w:w="2674" w:type="dxa"/>
          </w:tcPr>
          <w:p w:rsidR="008224BB" w:rsidRDefault="008224BB" w:rsidP="0069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 (y)</w:t>
            </w:r>
          </w:p>
        </w:tc>
        <w:tc>
          <w:tcPr>
            <w:tcW w:w="2674" w:type="dxa"/>
          </w:tcPr>
          <w:p w:rsidR="008224BB" w:rsidRPr="001C75CA" w:rsidRDefault="008224BB" w:rsidP="0069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Packyears</w:t>
            </w:r>
            <w:proofErr w:type="spellEnd"/>
          </w:p>
        </w:tc>
        <w:tc>
          <w:tcPr>
            <w:tcW w:w="2674" w:type="dxa"/>
          </w:tcPr>
          <w:p w:rsidR="008224BB" w:rsidRDefault="008224BB" w:rsidP="0069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Gender</w:t>
            </w:r>
          </w:p>
        </w:tc>
      </w:tr>
      <w:tr w:rsidR="008224BB" w:rsidRPr="001C75CA" w:rsidTr="00690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</w:tcPr>
          <w:p w:rsidR="008224BB" w:rsidRPr="001C75CA" w:rsidRDefault="008224BB" w:rsidP="00690841">
            <w:pPr>
              <w:rPr>
                <w:rFonts w:ascii="Times New Roman" w:hAnsi="Times New Roman"/>
                <w:sz w:val="24"/>
                <w:szCs w:val="24"/>
              </w:rPr>
            </w:pPr>
            <w:r w:rsidRPr="001C75CA">
              <w:rPr>
                <w:rFonts w:ascii="Times New Roman" w:hAnsi="Times New Roman"/>
                <w:sz w:val="24"/>
                <w:szCs w:val="24"/>
              </w:rPr>
              <w:t>FEV</w:t>
            </w:r>
            <w:r w:rsidRPr="001C75C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1C75CA">
              <w:rPr>
                <w:rFonts w:ascii="Times New Roman" w:hAnsi="Times New Roman"/>
                <w:sz w:val="24"/>
                <w:szCs w:val="24"/>
              </w:rPr>
              <w:t>%pred</w:t>
            </w:r>
          </w:p>
        </w:tc>
        <w:tc>
          <w:tcPr>
            <w:tcW w:w="2674" w:type="dxa"/>
          </w:tcPr>
          <w:p w:rsidR="008224BB" w:rsidRPr="001C75CA" w:rsidRDefault="008224BB" w:rsidP="00690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0.39 (0.22; 0.56)**</w:t>
            </w:r>
          </w:p>
        </w:tc>
        <w:tc>
          <w:tcPr>
            <w:tcW w:w="2674" w:type="dxa"/>
          </w:tcPr>
          <w:p w:rsidR="008224BB" w:rsidRDefault="008224BB" w:rsidP="00690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0.21 (0.10; 0.32)**</w:t>
            </w:r>
          </w:p>
        </w:tc>
        <w:tc>
          <w:tcPr>
            <w:tcW w:w="2674" w:type="dxa"/>
          </w:tcPr>
          <w:p w:rsidR="008224BB" w:rsidRPr="001C75CA" w:rsidRDefault="008224BB" w:rsidP="00690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-0.01 (-0.03; 0.02)</w:t>
            </w:r>
          </w:p>
        </w:tc>
        <w:tc>
          <w:tcPr>
            <w:tcW w:w="2674" w:type="dxa"/>
          </w:tcPr>
          <w:p w:rsidR="008224BB" w:rsidRDefault="008224BB" w:rsidP="00690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p&lt;0.001**</w:t>
            </w:r>
          </w:p>
        </w:tc>
      </w:tr>
      <w:tr w:rsidR="008224BB" w:rsidRPr="001C75CA" w:rsidTr="0069084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</w:tcPr>
          <w:p w:rsidR="008224BB" w:rsidRPr="001C75CA" w:rsidRDefault="008224BB" w:rsidP="00690841">
            <w:pPr>
              <w:rPr>
                <w:rFonts w:ascii="Times New Roman" w:hAnsi="Times New Roman"/>
                <w:sz w:val="24"/>
                <w:szCs w:val="24"/>
              </w:rPr>
            </w:pPr>
            <w:r w:rsidRPr="001C75CA">
              <w:rPr>
                <w:rFonts w:ascii="Times New Roman" w:hAnsi="Times New Roman"/>
                <w:sz w:val="24"/>
                <w:szCs w:val="24"/>
              </w:rPr>
              <w:t>FEV</w:t>
            </w:r>
            <w:r w:rsidRPr="001C75C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1C75CA">
              <w:rPr>
                <w:rFonts w:ascii="Times New Roman" w:hAnsi="Times New Roman"/>
                <w:sz w:val="24"/>
                <w:szCs w:val="24"/>
              </w:rPr>
              <w:t>/FVC</w:t>
            </w:r>
          </w:p>
        </w:tc>
        <w:tc>
          <w:tcPr>
            <w:tcW w:w="2674" w:type="dxa"/>
          </w:tcPr>
          <w:p w:rsidR="008224BB" w:rsidRPr="001C75CA" w:rsidRDefault="008224BB" w:rsidP="0069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 (-0.12; 0.14)</w:t>
            </w:r>
          </w:p>
        </w:tc>
        <w:tc>
          <w:tcPr>
            <w:tcW w:w="2674" w:type="dxa"/>
          </w:tcPr>
          <w:p w:rsidR="008224BB" w:rsidRDefault="008224BB" w:rsidP="0069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-0.04 (-0.12; 0.04)</w:t>
            </w:r>
          </w:p>
        </w:tc>
        <w:tc>
          <w:tcPr>
            <w:tcW w:w="2674" w:type="dxa"/>
          </w:tcPr>
          <w:p w:rsidR="008224BB" w:rsidRPr="001C75CA" w:rsidRDefault="008224BB" w:rsidP="0069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-0.01 (-0.03; 0.01)</w:t>
            </w:r>
          </w:p>
        </w:tc>
        <w:tc>
          <w:tcPr>
            <w:tcW w:w="2674" w:type="dxa"/>
          </w:tcPr>
          <w:p w:rsidR="008224BB" w:rsidRDefault="008224BB" w:rsidP="0069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p=0.132</w:t>
            </w:r>
          </w:p>
        </w:tc>
      </w:tr>
      <w:tr w:rsidR="008224BB" w:rsidRPr="001C75CA" w:rsidTr="00690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</w:tcPr>
          <w:p w:rsidR="008224BB" w:rsidRPr="001C75CA" w:rsidRDefault="008224BB" w:rsidP="006908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5CA">
              <w:rPr>
                <w:rFonts w:ascii="Times New Roman" w:hAnsi="Times New Roman"/>
                <w:sz w:val="24"/>
                <w:szCs w:val="24"/>
              </w:rPr>
              <w:t>FVC%pred</w:t>
            </w:r>
            <w:proofErr w:type="spellEnd"/>
          </w:p>
        </w:tc>
        <w:tc>
          <w:tcPr>
            <w:tcW w:w="2674" w:type="dxa"/>
          </w:tcPr>
          <w:p w:rsidR="008224BB" w:rsidRPr="001C75CA" w:rsidRDefault="008224BB" w:rsidP="00690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-0.08</w:t>
            </w:r>
            <w:r w:rsidRPr="001C75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-0.25; 0.10</w:t>
            </w:r>
            <w:r w:rsidRPr="001C75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74" w:type="dxa"/>
          </w:tcPr>
          <w:p w:rsidR="008224BB" w:rsidRDefault="008224BB" w:rsidP="00690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-0.05</w:t>
            </w:r>
            <w:r w:rsidRPr="001C75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-0.16; 0.06</w:t>
            </w:r>
            <w:r w:rsidRPr="001C75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74" w:type="dxa"/>
          </w:tcPr>
          <w:p w:rsidR="008224BB" w:rsidRPr="001C75CA" w:rsidRDefault="008224BB" w:rsidP="00690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 (-0.02; 0.03)</w:t>
            </w:r>
          </w:p>
        </w:tc>
        <w:tc>
          <w:tcPr>
            <w:tcW w:w="2674" w:type="dxa"/>
          </w:tcPr>
          <w:p w:rsidR="008224BB" w:rsidRDefault="008224BB" w:rsidP="00690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p=0.126</w:t>
            </w:r>
          </w:p>
        </w:tc>
      </w:tr>
      <w:tr w:rsidR="008224BB" w:rsidRPr="001C75CA" w:rsidTr="0069084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</w:tcPr>
          <w:p w:rsidR="008224BB" w:rsidRPr="001C75CA" w:rsidRDefault="008224BB" w:rsidP="006908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C75CA">
              <w:rPr>
                <w:rFonts w:ascii="Times New Roman" w:hAnsi="Times New Roman"/>
                <w:sz w:val="24"/>
                <w:szCs w:val="24"/>
                <w:lang w:val="en-US"/>
              </w:rPr>
              <w:t>ITGV%pred</w:t>
            </w:r>
            <w:proofErr w:type="spellEnd"/>
          </w:p>
        </w:tc>
        <w:tc>
          <w:tcPr>
            <w:tcW w:w="2674" w:type="dxa"/>
          </w:tcPr>
          <w:p w:rsidR="008224BB" w:rsidRPr="001C75CA" w:rsidRDefault="008224BB" w:rsidP="0069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-2.09 (-2.39; -1.80)**</w:t>
            </w:r>
          </w:p>
        </w:tc>
        <w:tc>
          <w:tcPr>
            <w:tcW w:w="2674" w:type="dxa"/>
          </w:tcPr>
          <w:p w:rsidR="008224BB" w:rsidRDefault="008224BB" w:rsidP="0069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-0.47 (-0.66; -0.29)**</w:t>
            </w:r>
          </w:p>
        </w:tc>
        <w:tc>
          <w:tcPr>
            <w:tcW w:w="2674" w:type="dxa"/>
          </w:tcPr>
          <w:p w:rsidR="008224BB" w:rsidRPr="001C75CA" w:rsidRDefault="008224BB" w:rsidP="0069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 (-0.03; 0.05)</w:t>
            </w:r>
          </w:p>
        </w:tc>
        <w:tc>
          <w:tcPr>
            <w:tcW w:w="2674" w:type="dxa"/>
          </w:tcPr>
          <w:p w:rsidR="008224BB" w:rsidRDefault="008224BB" w:rsidP="0069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p&lt;0.001**</w:t>
            </w:r>
          </w:p>
        </w:tc>
      </w:tr>
      <w:tr w:rsidR="008224BB" w:rsidRPr="001C75CA" w:rsidTr="00690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</w:tcPr>
          <w:p w:rsidR="008224BB" w:rsidRPr="001C75CA" w:rsidRDefault="008224BB" w:rsidP="006908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5CA">
              <w:rPr>
                <w:rFonts w:ascii="Times New Roman" w:hAnsi="Times New Roman"/>
                <w:sz w:val="24"/>
                <w:szCs w:val="24"/>
              </w:rPr>
              <w:t>TLCO%pred</w:t>
            </w:r>
            <w:proofErr w:type="spellEnd"/>
          </w:p>
        </w:tc>
        <w:tc>
          <w:tcPr>
            <w:tcW w:w="2674" w:type="dxa"/>
          </w:tcPr>
          <w:p w:rsidR="008224BB" w:rsidRPr="001C75CA" w:rsidRDefault="008224BB" w:rsidP="00690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1.07 (0.90; 1.24)**</w:t>
            </w:r>
          </w:p>
        </w:tc>
        <w:tc>
          <w:tcPr>
            <w:tcW w:w="2674" w:type="dxa"/>
          </w:tcPr>
          <w:p w:rsidR="008224BB" w:rsidRDefault="008224BB" w:rsidP="00690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0.02 (-0.09; 0.12)</w:t>
            </w:r>
          </w:p>
        </w:tc>
        <w:tc>
          <w:tcPr>
            <w:tcW w:w="2674" w:type="dxa"/>
          </w:tcPr>
          <w:p w:rsidR="008224BB" w:rsidRPr="001C75CA" w:rsidRDefault="008224BB" w:rsidP="00690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-0.05 (-0.08; -0.03)</w:t>
            </w:r>
          </w:p>
        </w:tc>
        <w:tc>
          <w:tcPr>
            <w:tcW w:w="2674" w:type="dxa"/>
          </w:tcPr>
          <w:p w:rsidR="008224BB" w:rsidRDefault="008224BB" w:rsidP="00690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p&lt;0.001**</w:t>
            </w:r>
          </w:p>
        </w:tc>
      </w:tr>
      <w:tr w:rsidR="008224BB" w:rsidRPr="001C75CA" w:rsidTr="0069084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</w:tcPr>
          <w:p w:rsidR="008224BB" w:rsidRPr="001C75CA" w:rsidRDefault="008224BB" w:rsidP="006908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5CA">
              <w:rPr>
                <w:rFonts w:ascii="Times New Roman" w:hAnsi="Times New Roman"/>
                <w:sz w:val="24"/>
                <w:szCs w:val="24"/>
              </w:rPr>
              <w:t>KCO%pred</w:t>
            </w:r>
            <w:proofErr w:type="spellEnd"/>
          </w:p>
        </w:tc>
        <w:tc>
          <w:tcPr>
            <w:tcW w:w="2674" w:type="dxa"/>
          </w:tcPr>
          <w:p w:rsidR="008224BB" w:rsidRPr="001C75CA" w:rsidRDefault="008224BB" w:rsidP="0069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1.48 (1.29; 1.66)**</w:t>
            </w:r>
          </w:p>
        </w:tc>
        <w:tc>
          <w:tcPr>
            <w:tcW w:w="2674" w:type="dxa"/>
          </w:tcPr>
          <w:p w:rsidR="008224BB" w:rsidRDefault="008224BB" w:rsidP="0069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0.34 (0.22; 0.45)**</w:t>
            </w:r>
          </w:p>
        </w:tc>
        <w:tc>
          <w:tcPr>
            <w:tcW w:w="2674" w:type="dxa"/>
          </w:tcPr>
          <w:p w:rsidR="008224BB" w:rsidRPr="001C75CA" w:rsidRDefault="008224BB" w:rsidP="0069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-0.06 (-0.09; -0.04)**</w:t>
            </w:r>
          </w:p>
        </w:tc>
        <w:tc>
          <w:tcPr>
            <w:tcW w:w="2674" w:type="dxa"/>
          </w:tcPr>
          <w:p w:rsidR="008224BB" w:rsidRDefault="008224BB" w:rsidP="0069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p&lt;0.001**</w:t>
            </w:r>
          </w:p>
        </w:tc>
      </w:tr>
    </w:tbl>
    <w:p w:rsidR="008224BB" w:rsidRPr="00435F7B" w:rsidRDefault="008224BB" w:rsidP="008224BB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</w:t>
      </w:r>
      <w:r w:rsidRPr="00435F7B">
        <w:rPr>
          <w:rFonts w:ascii="Times New Roman" w:hAnsi="Times New Roman"/>
          <w:sz w:val="24"/>
          <w:szCs w:val="24"/>
          <w:lang w:val="en-US"/>
        </w:rPr>
        <w:t xml:space="preserve"> table shows the results of multivariate</w:t>
      </w:r>
      <w:r>
        <w:rPr>
          <w:rFonts w:ascii="Times New Roman" w:hAnsi="Times New Roman"/>
          <w:sz w:val="24"/>
          <w:szCs w:val="24"/>
          <w:lang w:val="en-US"/>
        </w:rPr>
        <w:t xml:space="preserve"> linear regression analyse</w:t>
      </w:r>
      <w:r w:rsidRPr="00435F7B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 xml:space="preserve"> in terms of the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unnormalized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regression coefficients as well as 95%-confidence intervals, except for gender as a binary variable. The associations marked with (**) were highly significant </w:t>
      </w:r>
      <w:r w:rsidRPr="00B02E58">
        <w:rPr>
          <w:rFonts w:ascii="Times New Roman" w:hAnsi="Times New Roman"/>
          <w:sz w:val="24"/>
          <w:szCs w:val="24"/>
          <w:lang w:val="en-US"/>
        </w:rPr>
        <w:t>(p≤0.001</w:t>
      </w:r>
      <w:r>
        <w:rPr>
          <w:rFonts w:ascii="Times New Roman" w:hAnsi="Times New Roman"/>
          <w:sz w:val="24"/>
          <w:szCs w:val="24"/>
          <w:lang w:val="en-US"/>
        </w:rPr>
        <w:t xml:space="preserve">). For abbreviations see text. </w:t>
      </w:r>
    </w:p>
    <w:p w:rsidR="008224BB" w:rsidRPr="005E30CF" w:rsidRDefault="008224BB" w:rsidP="006605A2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605A2" w:rsidRDefault="006605A2" w:rsidP="006605A2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These analyses described the association between the set of risk </w:t>
      </w:r>
      <w:r w:rsidRPr="002E53C2">
        <w:rPr>
          <w:rFonts w:ascii="Times New Roman" w:hAnsi="Times New Roman"/>
          <w:sz w:val="24"/>
          <w:szCs w:val="24"/>
          <w:lang w:val="en-US"/>
        </w:rPr>
        <w:t>factors and the sets of comorbidities and of lung function. To complete the standard approach, in the next step we assessed the relationship between comorbidities and lung function</w:t>
      </w:r>
      <w:r w:rsidR="002E53C2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A10747">
        <w:rPr>
          <w:rFonts w:ascii="Times New Roman" w:hAnsi="Times New Roman"/>
          <w:sz w:val="24"/>
          <w:szCs w:val="24"/>
          <w:lang w:val="en-US"/>
        </w:rPr>
        <w:t>T</w:t>
      </w:r>
      <w:r w:rsidR="002E53C2">
        <w:rPr>
          <w:rFonts w:ascii="Times New Roman" w:hAnsi="Times New Roman"/>
          <w:sz w:val="24"/>
          <w:szCs w:val="24"/>
          <w:lang w:val="en-US"/>
        </w:rPr>
        <w:t>able</w:t>
      </w:r>
      <w:r w:rsidR="00D87F79">
        <w:rPr>
          <w:rFonts w:ascii="Times New Roman" w:hAnsi="Times New Roman"/>
          <w:sz w:val="24"/>
          <w:szCs w:val="24"/>
          <w:lang w:val="en-US"/>
        </w:rPr>
        <w:t xml:space="preserve"> C</w:t>
      </w:r>
      <w:r w:rsidR="002E53C2">
        <w:rPr>
          <w:rFonts w:ascii="Times New Roman" w:hAnsi="Times New Roman"/>
          <w:sz w:val="24"/>
          <w:szCs w:val="24"/>
          <w:lang w:val="en-US"/>
        </w:rPr>
        <w:t>)</w:t>
      </w:r>
      <w:r w:rsidRPr="002E53C2">
        <w:rPr>
          <w:rFonts w:ascii="Times New Roman" w:hAnsi="Times New Roman"/>
          <w:sz w:val="24"/>
          <w:szCs w:val="24"/>
          <w:lang w:val="en-US"/>
        </w:rPr>
        <w:t xml:space="preserve">. This was done using linear multivariate regression analysis with lung function as dependent variables and comorbidities as </w:t>
      </w:r>
      <w:r w:rsidR="003A61E1" w:rsidRPr="002E53C2">
        <w:rPr>
          <w:rFonts w:ascii="Times New Roman" w:hAnsi="Times New Roman"/>
          <w:sz w:val="24"/>
          <w:szCs w:val="24"/>
          <w:lang w:val="en-US"/>
        </w:rPr>
        <w:t xml:space="preserve">predictors. </w:t>
      </w:r>
      <w:r w:rsidRPr="002E53C2">
        <w:rPr>
          <w:rFonts w:ascii="Times New Roman" w:hAnsi="Times New Roman"/>
          <w:sz w:val="24"/>
          <w:szCs w:val="24"/>
          <w:lang w:val="en-US"/>
        </w:rPr>
        <w:t>FEV</w:t>
      </w:r>
      <w:r w:rsidRPr="002E53C2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2E53C2">
        <w:rPr>
          <w:rFonts w:ascii="Times New Roman" w:hAnsi="Times New Roman"/>
          <w:sz w:val="24"/>
          <w:szCs w:val="24"/>
          <w:lang w:val="en-US"/>
        </w:rPr>
        <w:t>%pred was related to hyperlipidemia and cardiovascular complex (p</w:t>
      </w:r>
      <w:r w:rsidRPr="002E53C2">
        <w:rPr>
          <w:rFonts w:ascii="Times New Roman" w:hAnsi="Times New Roman"/>
          <w:sz w:val="24"/>
          <w:szCs w:val="24"/>
        </w:rPr>
        <w:sym w:font="Symbol" w:char="F0A3"/>
      </w:r>
      <w:r w:rsidRPr="002E53C2">
        <w:rPr>
          <w:rFonts w:ascii="Times New Roman" w:hAnsi="Times New Roman"/>
          <w:sz w:val="24"/>
          <w:szCs w:val="24"/>
          <w:lang w:val="en-US"/>
        </w:rPr>
        <w:t xml:space="preserve">0.003 each), </w:t>
      </w:r>
      <w:proofErr w:type="spellStart"/>
      <w:r w:rsidRPr="002E53C2">
        <w:rPr>
          <w:rFonts w:ascii="Times New Roman" w:hAnsi="Times New Roman"/>
          <w:sz w:val="24"/>
          <w:szCs w:val="24"/>
          <w:lang w:val="en-US"/>
        </w:rPr>
        <w:t>ITGV%pred</w:t>
      </w:r>
      <w:proofErr w:type="spellEnd"/>
      <w:r w:rsidRPr="002E53C2">
        <w:rPr>
          <w:rFonts w:ascii="Times New Roman" w:hAnsi="Times New Roman"/>
          <w:sz w:val="24"/>
          <w:szCs w:val="24"/>
          <w:lang w:val="en-US"/>
        </w:rPr>
        <w:t xml:space="preserve"> to diabetes and hyperlipidemia (p&lt;0.001 each) as well as cardiovascular complex (p=0.048), and </w:t>
      </w:r>
      <w:proofErr w:type="spellStart"/>
      <w:r w:rsidRPr="002E53C2">
        <w:rPr>
          <w:rFonts w:ascii="Times New Roman" w:hAnsi="Times New Roman"/>
          <w:sz w:val="24"/>
          <w:szCs w:val="24"/>
          <w:lang w:val="en-US"/>
        </w:rPr>
        <w:t>KCO%pred</w:t>
      </w:r>
      <w:proofErr w:type="spellEnd"/>
      <w:r w:rsidRPr="002E53C2">
        <w:rPr>
          <w:rFonts w:ascii="Times New Roman" w:hAnsi="Times New Roman"/>
          <w:sz w:val="24"/>
          <w:szCs w:val="24"/>
          <w:lang w:val="en-US"/>
        </w:rPr>
        <w:t xml:space="preserve"> to hyperlipidemia and diabetes (p&lt;0.001 each) but not cardiovascular complex (p=0.178). Overall this was in accordance with the results of binary logistic regression analyses, with comorbidities as dependent and lung function as independent. Hyperlipidemia was significantly (p&lt;0.001) associated with </w:t>
      </w:r>
      <w:proofErr w:type="spellStart"/>
      <w:r w:rsidRPr="002E53C2">
        <w:rPr>
          <w:rFonts w:ascii="Times New Roman" w:hAnsi="Times New Roman"/>
          <w:sz w:val="24"/>
          <w:szCs w:val="24"/>
          <w:lang w:val="en-US"/>
        </w:rPr>
        <w:t>ITGV%pred</w:t>
      </w:r>
      <w:proofErr w:type="spellEnd"/>
      <w:r w:rsidRPr="002E53C2">
        <w:rPr>
          <w:rFonts w:ascii="Times New Roman" w:hAnsi="Times New Roman"/>
          <w:sz w:val="24"/>
          <w:szCs w:val="24"/>
          <w:lang w:val="en-US"/>
        </w:rPr>
        <w:t>, diabetes and cardiovascular complex with FEV</w:t>
      </w:r>
      <w:r w:rsidRPr="002E53C2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2E53C2">
        <w:rPr>
          <w:rFonts w:ascii="Times New Roman" w:hAnsi="Times New Roman"/>
          <w:sz w:val="24"/>
          <w:szCs w:val="24"/>
          <w:lang w:val="en-US"/>
        </w:rPr>
        <w:t xml:space="preserve">%pred and </w:t>
      </w:r>
      <w:proofErr w:type="spellStart"/>
      <w:r w:rsidRPr="002E53C2">
        <w:rPr>
          <w:rFonts w:ascii="Times New Roman" w:hAnsi="Times New Roman"/>
          <w:sz w:val="24"/>
          <w:szCs w:val="24"/>
          <w:lang w:val="en-US"/>
        </w:rPr>
        <w:t>ITGV%pred</w:t>
      </w:r>
      <w:proofErr w:type="spellEnd"/>
      <w:r w:rsidRPr="002E53C2">
        <w:rPr>
          <w:rFonts w:ascii="Times New Roman" w:hAnsi="Times New Roman"/>
          <w:sz w:val="24"/>
          <w:szCs w:val="24"/>
          <w:lang w:val="en-US"/>
        </w:rPr>
        <w:t xml:space="preserve"> (p&lt;0.001 each) and also with </w:t>
      </w:r>
      <w:proofErr w:type="spellStart"/>
      <w:r w:rsidRPr="002E53C2">
        <w:rPr>
          <w:rFonts w:ascii="Times New Roman" w:hAnsi="Times New Roman"/>
          <w:sz w:val="24"/>
          <w:szCs w:val="24"/>
          <w:lang w:val="en-US"/>
        </w:rPr>
        <w:t>KCO%pred</w:t>
      </w:r>
      <w:proofErr w:type="spellEnd"/>
      <w:r w:rsidRPr="002E53C2">
        <w:rPr>
          <w:rFonts w:ascii="Times New Roman" w:hAnsi="Times New Roman"/>
          <w:sz w:val="24"/>
          <w:szCs w:val="24"/>
          <w:lang w:val="en-US"/>
        </w:rPr>
        <w:t xml:space="preserve"> (p=0.002 and p=0.031, respectively).</w:t>
      </w:r>
      <w:r w:rsidRPr="005E30C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C3A84" w:rsidRPr="003C3A84" w:rsidRDefault="003C3A84" w:rsidP="003C3A84">
      <w:pPr>
        <w:rPr>
          <w:rFonts w:ascii="Times New Roman" w:hAnsi="Times New Roman"/>
          <w:b/>
          <w:sz w:val="24"/>
          <w:szCs w:val="24"/>
          <w:lang w:val="en-US"/>
        </w:rPr>
      </w:pPr>
      <w:r w:rsidRPr="003C3A84">
        <w:rPr>
          <w:rFonts w:ascii="Times New Roman" w:hAnsi="Times New Roman"/>
          <w:b/>
          <w:sz w:val="24"/>
          <w:szCs w:val="24"/>
          <w:lang w:val="en-US"/>
        </w:rPr>
        <w:lastRenderedPageBreak/>
        <w:t>Table</w:t>
      </w:r>
      <w:r w:rsidR="00900EBA">
        <w:rPr>
          <w:rFonts w:ascii="Times New Roman" w:hAnsi="Times New Roman"/>
          <w:b/>
          <w:sz w:val="24"/>
          <w:szCs w:val="24"/>
          <w:lang w:val="en-US"/>
        </w:rPr>
        <w:t xml:space="preserve"> C</w:t>
      </w:r>
      <w:r w:rsidRPr="003C3A84">
        <w:rPr>
          <w:rFonts w:ascii="Times New Roman" w:hAnsi="Times New Roman"/>
          <w:b/>
          <w:sz w:val="24"/>
          <w:szCs w:val="24"/>
          <w:lang w:val="en-US"/>
        </w:rPr>
        <w:t>: Relationship between the comorbidities hyperlipidemia, diabetes and cardiovascular complex and the three selected lung function parameters FEV</w:t>
      </w:r>
      <w:r w:rsidRPr="003C3A84">
        <w:rPr>
          <w:rFonts w:ascii="Times New Roman" w:hAnsi="Times New Roman"/>
          <w:b/>
          <w:sz w:val="24"/>
          <w:szCs w:val="24"/>
          <w:vertAlign w:val="subscript"/>
          <w:lang w:val="en-US"/>
        </w:rPr>
        <w:t>1</w:t>
      </w:r>
      <w:r w:rsidRPr="003C3A84">
        <w:rPr>
          <w:rFonts w:ascii="Times New Roman" w:hAnsi="Times New Roman"/>
          <w:b/>
          <w:sz w:val="24"/>
          <w:szCs w:val="24"/>
          <w:lang w:val="en-US"/>
        </w:rPr>
        <w:t xml:space="preserve">%pred, </w:t>
      </w:r>
      <w:proofErr w:type="spellStart"/>
      <w:r w:rsidRPr="003C3A84">
        <w:rPr>
          <w:rFonts w:ascii="Times New Roman" w:hAnsi="Times New Roman"/>
          <w:b/>
          <w:sz w:val="24"/>
          <w:szCs w:val="24"/>
          <w:lang w:val="en-US"/>
        </w:rPr>
        <w:t>ITGV%pred</w:t>
      </w:r>
      <w:proofErr w:type="spellEnd"/>
      <w:r w:rsidRPr="003C3A84">
        <w:rPr>
          <w:rFonts w:ascii="Times New Roman" w:hAnsi="Times New Roman"/>
          <w:b/>
          <w:sz w:val="24"/>
          <w:szCs w:val="24"/>
          <w:lang w:val="en-US"/>
        </w:rPr>
        <w:t xml:space="preserve"> and </w:t>
      </w:r>
      <w:proofErr w:type="spellStart"/>
      <w:r w:rsidRPr="003C3A84">
        <w:rPr>
          <w:rFonts w:ascii="Times New Roman" w:hAnsi="Times New Roman"/>
          <w:b/>
          <w:sz w:val="24"/>
          <w:szCs w:val="24"/>
          <w:lang w:val="en-US"/>
        </w:rPr>
        <w:t>KCO%pred</w:t>
      </w:r>
      <w:proofErr w:type="spellEnd"/>
    </w:p>
    <w:tbl>
      <w:tblPr>
        <w:tblStyle w:val="HelleSchattierung"/>
        <w:tblW w:w="0" w:type="auto"/>
        <w:tblLayout w:type="fixed"/>
        <w:tblLook w:val="04A0" w:firstRow="1" w:lastRow="0" w:firstColumn="1" w:lastColumn="0" w:noHBand="0" w:noVBand="1"/>
      </w:tblPr>
      <w:tblGrid>
        <w:gridCol w:w="3171"/>
        <w:gridCol w:w="3171"/>
        <w:gridCol w:w="3171"/>
        <w:gridCol w:w="3171"/>
      </w:tblGrid>
      <w:tr w:rsidR="003C3A84" w:rsidRPr="003C3A84" w:rsidTr="009014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3C3A84" w:rsidRPr="003C3A84" w:rsidRDefault="003C3A84" w:rsidP="00901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84">
              <w:rPr>
                <w:rFonts w:ascii="Times New Roman" w:hAnsi="Times New Roman"/>
                <w:sz w:val="24"/>
                <w:szCs w:val="24"/>
              </w:rPr>
              <w:t>Parameter</w:t>
            </w:r>
          </w:p>
        </w:tc>
        <w:tc>
          <w:tcPr>
            <w:tcW w:w="3171" w:type="dxa"/>
          </w:tcPr>
          <w:p w:rsidR="003C3A84" w:rsidRPr="003C3A84" w:rsidRDefault="003C3A84" w:rsidP="009014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A84">
              <w:rPr>
                <w:rFonts w:ascii="Times New Roman" w:hAnsi="Times New Roman"/>
                <w:sz w:val="24"/>
                <w:szCs w:val="24"/>
              </w:rPr>
              <w:t>Hyperlipidemia</w:t>
            </w:r>
            <w:proofErr w:type="spellEnd"/>
          </w:p>
        </w:tc>
        <w:tc>
          <w:tcPr>
            <w:tcW w:w="3171" w:type="dxa"/>
          </w:tcPr>
          <w:p w:rsidR="003C3A84" w:rsidRPr="003C3A84" w:rsidRDefault="003C3A84" w:rsidP="009014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C3A84">
              <w:rPr>
                <w:rFonts w:ascii="Times New Roman" w:hAnsi="Times New Roman"/>
                <w:sz w:val="24"/>
                <w:szCs w:val="24"/>
              </w:rPr>
              <w:t>Diabetes</w:t>
            </w:r>
          </w:p>
        </w:tc>
        <w:tc>
          <w:tcPr>
            <w:tcW w:w="3171" w:type="dxa"/>
          </w:tcPr>
          <w:p w:rsidR="003C3A84" w:rsidRPr="003C3A84" w:rsidRDefault="003C3A84" w:rsidP="009014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A84">
              <w:rPr>
                <w:rFonts w:ascii="Times New Roman" w:hAnsi="Times New Roman"/>
                <w:sz w:val="24"/>
                <w:szCs w:val="24"/>
              </w:rPr>
              <w:t>Cardiovascular</w:t>
            </w:r>
            <w:proofErr w:type="spellEnd"/>
            <w:r w:rsidRPr="003C3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A84">
              <w:rPr>
                <w:rFonts w:ascii="Times New Roman" w:hAnsi="Times New Roman"/>
                <w:sz w:val="24"/>
                <w:szCs w:val="24"/>
              </w:rPr>
              <w:t>complex</w:t>
            </w:r>
            <w:proofErr w:type="spellEnd"/>
          </w:p>
        </w:tc>
      </w:tr>
      <w:tr w:rsidR="003C3A84" w:rsidRPr="003C3A84" w:rsidTr="00901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3C3A84" w:rsidRPr="003C3A84" w:rsidRDefault="003C3A84" w:rsidP="00901491">
            <w:pPr>
              <w:rPr>
                <w:rFonts w:ascii="Times New Roman" w:hAnsi="Times New Roman"/>
                <w:sz w:val="24"/>
                <w:szCs w:val="24"/>
              </w:rPr>
            </w:pPr>
            <w:r w:rsidRPr="003C3A84">
              <w:rPr>
                <w:rFonts w:ascii="Times New Roman" w:hAnsi="Times New Roman"/>
                <w:sz w:val="24"/>
                <w:szCs w:val="24"/>
              </w:rPr>
              <w:t>FEV</w:t>
            </w:r>
            <w:r w:rsidRPr="003C3A84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3C3A84">
              <w:rPr>
                <w:rFonts w:ascii="Times New Roman" w:hAnsi="Times New Roman"/>
                <w:sz w:val="24"/>
                <w:szCs w:val="24"/>
              </w:rPr>
              <w:t>%pred</w:t>
            </w:r>
          </w:p>
        </w:tc>
        <w:tc>
          <w:tcPr>
            <w:tcW w:w="3171" w:type="dxa"/>
          </w:tcPr>
          <w:p w:rsidR="003C3A84" w:rsidRPr="003C3A84" w:rsidRDefault="003C3A84" w:rsidP="00901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C3A84">
              <w:rPr>
                <w:rFonts w:ascii="Times New Roman" w:hAnsi="Times New Roman"/>
                <w:sz w:val="24"/>
                <w:szCs w:val="24"/>
              </w:rPr>
              <w:t>3.75 (1.87; 5.63)**</w:t>
            </w:r>
          </w:p>
        </w:tc>
        <w:tc>
          <w:tcPr>
            <w:tcW w:w="3171" w:type="dxa"/>
          </w:tcPr>
          <w:p w:rsidR="003C3A84" w:rsidRPr="003C3A84" w:rsidRDefault="003C3A84" w:rsidP="00901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C3A84">
              <w:rPr>
                <w:rFonts w:ascii="Times New Roman" w:hAnsi="Times New Roman"/>
                <w:sz w:val="24"/>
                <w:szCs w:val="24"/>
              </w:rPr>
              <w:t>-1.16 (-3.91; 1.59)</w:t>
            </w:r>
          </w:p>
        </w:tc>
        <w:tc>
          <w:tcPr>
            <w:tcW w:w="3171" w:type="dxa"/>
          </w:tcPr>
          <w:p w:rsidR="003C3A84" w:rsidRPr="003C3A84" w:rsidRDefault="003C3A84" w:rsidP="00901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C3A84">
              <w:rPr>
                <w:rFonts w:ascii="Times New Roman" w:hAnsi="Times New Roman"/>
                <w:sz w:val="24"/>
                <w:szCs w:val="24"/>
              </w:rPr>
              <w:t>-2.94 (-4.87; -1.00)*</w:t>
            </w:r>
          </w:p>
        </w:tc>
      </w:tr>
      <w:tr w:rsidR="003C3A84" w:rsidRPr="003C3A84" w:rsidTr="0090149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3C3A84" w:rsidRPr="003C3A84" w:rsidRDefault="003C3A84" w:rsidP="009014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A84">
              <w:rPr>
                <w:rFonts w:ascii="Times New Roman" w:hAnsi="Times New Roman"/>
                <w:sz w:val="24"/>
                <w:szCs w:val="24"/>
              </w:rPr>
              <w:t>ITGV%pred</w:t>
            </w:r>
            <w:proofErr w:type="spellEnd"/>
          </w:p>
        </w:tc>
        <w:tc>
          <w:tcPr>
            <w:tcW w:w="3171" w:type="dxa"/>
          </w:tcPr>
          <w:p w:rsidR="003C3A84" w:rsidRPr="003C3A84" w:rsidRDefault="003C3A84" w:rsidP="00901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C3A84">
              <w:rPr>
                <w:rFonts w:ascii="Times New Roman" w:hAnsi="Times New Roman"/>
                <w:sz w:val="24"/>
                <w:szCs w:val="24"/>
              </w:rPr>
              <w:t>-7.25 (-10.67; -3.88)**</w:t>
            </w:r>
          </w:p>
        </w:tc>
        <w:tc>
          <w:tcPr>
            <w:tcW w:w="3171" w:type="dxa"/>
          </w:tcPr>
          <w:p w:rsidR="003C3A84" w:rsidRPr="003C3A84" w:rsidRDefault="003C3A84" w:rsidP="00901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C3A84">
              <w:rPr>
                <w:rFonts w:ascii="Times New Roman" w:hAnsi="Times New Roman"/>
                <w:sz w:val="24"/>
                <w:szCs w:val="24"/>
              </w:rPr>
              <w:t>-8.93 (-13.91; -3.95)**</w:t>
            </w:r>
          </w:p>
        </w:tc>
        <w:tc>
          <w:tcPr>
            <w:tcW w:w="3171" w:type="dxa"/>
          </w:tcPr>
          <w:p w:rsidR="003C3A84" w:rsidRPr="003C3A84" w:rsidRDefault="003C3A84" w:rsidP="00901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C3A84">
              <w:rPr>
                <w:rFonts w:ascii="Times New Roman" w:hAnsi="Times New Roman"/>
                <w:sz w:val="24"/>
                <w:szCs w:val="24"/>
              </w:rPr>
              <w:t>-3.54 (-7.05;-0.04)*</w:t>
            </w:r>
          </w:p>
        </w:tc>
      </w:tr>
      <w:tr w:rsidR="003C3A84" w:rsidRPr="003C3A84" w:rsidTr="00901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3C3A84" w:rsidRPr="003C3A84" w:rsidRDefault="003C3A84" w:rsidP="009014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A84">
              <w:rPr>
                <w:rFonts w:ascii="Times New Roman" w:hAnsi="Times New Roman"/>
                <w:sz w:val="24"/>
                <w:szCs w:val="24"/>
              </w:rPr>
              <w:t>KCO%pred</w:t>
            </w:r>
            <w:proofErr w:type="spellEnd"/>
          </w:p>
        </w:tc>
        <w:tc>
          <w:tcPr>
            <w:tcW w:w="3171" w:type="dxa"/>
          </w:tcPr>
          <w:p w:rsidR="003C3A84" w:rsidRPr="003C3A84" w:rsidRDefault="003C3A84" w:rsidP="00901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C3A84">
              <w:rPr>
                <w:rFonts w:ascii="Times New Roman" w:hAnsi="Times New Roman"/>
                <w:sz w:val="24"/>
                <w:szCs w:val="24"/>
              </w:rPr>
              <w:t>3.28 (1.08; 5.47)*</w:t>
            </w:r>
          </w:p>
        </w:tc>
        <w:tc>
          <w:tcPr>
            <w:tcW w:w="3171" w:type="dxa"/>
          </w:tcPr>
          <w:p w:rsidR="003C3A84" w:rsidRPr="003C3A84" w:rsidRDefault="003C3A84" w:rsidP="00901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C3A84">
              <w:rPr>
                <w:rFonts w:ascii="Times New Roman" w:hAnsi="Times New Roman"/>
                <w:sz w:val="24"/>
                <w:szCs w:val="24"/>
              </w:rPr>
              <w:t>5.69 (2.48; 8.91)**</w:t>
            </w:r>
          </w:p>
        </w:tc>
        <w:tc>
          <w:tcPr>
            <w:tcW w:w="3171" w:type="dxa"/>
          </w:tcPr>
          <w:p w:rsidR="003C3A84" w:rsidRPr="003C3A84" w:rsidRDefault="003C3A84" w:rsidP="00901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C3A84">
              <w:rPr>
                <w:rFonts w:ascii="Times New Roman" w:hAnsi="Times New Roman"/>
                <w:sz w:val="24"/>
                <w:szCs w:val="24"/>
              </w:rPr>
              <w:t>1.56 (-0.71; 3.82)</w:t>
            </w:r>
          </w:p>
        </w:tc>
      </w:tr>
    </w:tbl>
    <w:p w:rsidR="003C3A84" w:rsidRDefault="003C3A84" w:rsidP="00537035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3C3A84">
        <w:rPr>
          <w:rFonts w:ascii="Times New Roman" w:hAnsi="Times New Roman"/>
          <w:sz w:val="24"/>
          <w:szCs w:val="24"/>
          <w:lang w:val="en-US"/>
        </w:rPr>
        <w:t xml:space="preserve">The table shows the results of multivariate linear regression analyses in terms of the </w:t>
      </w:r>
      <w:proofErr w:type="spellStart"/>
      <w:r w:rsidRPr="003C3A84">
        <w:rPr>
          <w:rFonts w:ascii="Times New Roman" w:hAnsi="Times New Roman"/>
          <w:sz w:val="24"/>
          <w:szCs w:val="24"/>
          <w:lang w:val="en-US"/>
        </w:rPr>
        <w:t>unnormalized</w:t>
      </w:r>
      <w:proofErr w:type="spellEnd"/>
      <w:r w:rsidRPr="003C3A84">
        <w:rPr>
          <w:rFonts w:ascii="Times New Roman" w:hAnsi="Times New Roman"/>
          <w:sz w:val="24"/>
          <w:szCs w:val="24"/>
          <w:lang w:val="en-US"/>
        </w:rPr>
        <w:t xml:space="preserve"> regression coefficients as well as 95%-confidence intervals. The associations marked with (**) were highly significant (p≤0.001) those with (*) significant (p&lt;0.05). Please note that the predictors are binary variables and the dependent variables are continuous; thus the analysis is equivalent to an analysis of variance. For abbreviations see text.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37035" w:rsidRPr="00C804E0" w:rsidRDefault="00537035" w:rsidP="00537035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A37E52" w:rsidRPr="00D15962" w:rsidRDefault="00A37E52" w:rsidP="00A37E52">
      <w:pPr>
        <w:spacing w:line="48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D15962">
        <w:rPr>
          <w:rFonts w:ascii="Times New Roman" w:hAnsi="Times New Roman"/>
          <w:b/>
          <w:sz w:val="32"/>
          <w:szCs w:val="32"/>
          <w:lang w:val="en-US"/>
        </w:rPr>
        <w:t>Results of preliminary path analysis models</w:t>
      </w:r>
    </w:p>
    <w:p w:rsidR="006735DF" w:rsidRPr="00D15962" w:rsidRDefault="006735DF" w:rsidP="006735DF">
      <w:pPr>
        <w:spacing w:line="48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D15962">
        <w:rPr>
          <w:rFonts w:ascii="Times New Roman" w:hAnsi="Times New Roman"/>
          <w:b/>
          <w:sz w:val="28"/>
          <w:szCs w:val="28"/>
          <w:lang w:val="en-US"/>
        </w:rPr>
        <w:t>Preliminary model for comorbidities</w:t>
      </w:r>
    </w:p>
    <w:p w:rsidR="006735DF" w:rsidRDefault="006735DF" w:rsidP="006735DF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E30CF">
        <w:rPr>
          <w:rFonts w:ascii="Times New Roman" w:hAnsi="Times New Roman"/>
          <w:sz w:val="24"/>
          <w:szCs w:val="24"/>
          <w:lang w:val="en-US"/>
        </w:rPr>
        <w:t xml:space="preserve">The result for the </w:t>
      </w:r>
      <w:r>
        <w:rPr>
          <w:rFonts w:ascii="Times New Roman" w:hAnsi="Times New Roman"/>
          <w:sz w:val="24"/>
          <w:szCs w:val="24"/>
          <w:lang w:val="en-US"/>
        </w:rPr>
        <w:t xml:space="preserve">first preliminary model containing </w:t>
      </w:r>
      <w:r w:rsidRPr="005E30CF">
        <w:rPr>
          <w:rFonts w:ascii="Times New Roman" w:hAnsi="Times New Roman"/>
          <w:sz w:val="24"/>
          <w:szCs w:val="24"/>
          <w:lang w:val="en-US"/>
        </w:rPr>
        <w:t xml:space="preserve">top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5E30CF">
        <w:rPr>
          <w:rFonts w:ascii="Times New Roman" w:hAnsi="Times New Roman"/>
          <w:sz w:val="24"/>
          <w:szCs w:val="24"/>
          <w:lang w:val="en-US"/>
        </w:rPr>
        <w:t xml:space="preserve"> intermed</w:t>
      </w:r>
      <w:r>
        <w:rPr>
          <w:rFonts w:ascii="Times New Roman" w:hAnsi="Times New Roman"/>
          <w:sz w:val="24"/>
          <w:szCs w:val="24"/>
          <w:lang w:val="en-US"/>
        </w:rPr>
        <w:t>iate layer, i.e. risk factors and comorbidities,</w:t>
      </w:r>
      <w:r w:rsidRPr="005E30C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5652B">
        <w:rPr>
          <w:rFonts w:ascii="Times New Roman" w:hAnsi="Times New Roman"/>
          <w:sz w:val="24"/>
          <w:szCs w:val="24"/>
          <w:lang w:val="en-US"/>
        </w:rPr>
        <w:t>is shown in</w:t>
      </w:r>
      <w:r w:rsidR="00E63A8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83B62">
        <w:rPr>
          <w:rFonts w:ascii="Times New Roman" w:hAnsi="Times New Roman"/>
          <w:sz w:val="24"/>
          <w:szCs w:val="24"/>
          <w:lang w:val="en-US"/>
        </w:rPr>
        <w:t xml:space="preserve">S1 </w:t>
      </w:r>
      <w:r w:rsidR="000D49CD">
        <w:rPr>
          <w:rFonts w:ascii="Times New Roman" w:hAnsi="Times New Roman"/>
          <w:sz w:val="24"/>
          <w:szCs w:val="24"/>
          <w:lang w:val="en-US"/>
        </w:rPr>
        <w:t>Fig</w:t>
      </w:r>
      <w:r w:rsidRPr="00E5652B">
        <w:rPr>
          <w:rFonts w:ascii="Times New Roman" w:hAnsi="Times New Roman"/>
          <w:sz w:val="24"/>
          <w:szCs w:val="24"/>
          <w:lang w:val="en-US"/>
        </w:rPr>
        <w:t>. Based</w:t>
      </w:r>
      <w:r w:rsidRPr="005E30CF">
        <w:rPr>
          <w:rFonts w:ascii="Times New Roman" w:hAnsi="Times New Roman"/>
          <w:sz w:val="24"/>
          <w:szCs w:val="24"/>
          <w:lang w:val="en-US"/>
        </w:rPr>
        <w:t xml:space="preserve"> on the results of the logistic regression analyses </w:t>
      </w:r>
      <w:r>
        <w:rPr>
          <w:rFonts w:ascii="Times New Roman" w:hAnsi="Times New Roman"/>
          <w:sz w:val="24"/>
          <w:szCs w:val="24"/>
          <w:lang w:val="en-US"/>
        </w:rPr>
        <w:t xml:space="preserve">(see above) </w:t>
      </w:r>
      <w:r w:rsidRPr="005E30CF">
        <w:rPr>
          <w:rFonts w:ascii="Times New Roman" w:hAnsi="Times New Roman"/>
          <w:sz w:val="24"/>
          <w:szCs w:val="24"/>
          <w:lang w:val="en-US"/>
        </w:rPr>
        <w:t xml:space="preserve">this structure did not contain </w:t>
      </w:r>
      <w:proofErr w:type="spellStart"/>
      <w:r w:rsidRPr="005E30CF">
        <w:rPr>
          <w:rFonts w:ascii="Times New Roman" w:hAnsi="Times New Roman"/>
          <w:sz w:val="24"/>
          <w:szCs w:val="24"/>
          <w:lang w:val="en-US"/>
        </w:rPr>
        <w:t>packyears</w:t>
      </w:r>
      <w:proofErr w:type="spellEnd"/>
      <w:r w:rsidRPr="005E30CF">
        <w:rPr>
          <w:rFonts w:ascii="Times New Roman" w:hAnsi="Times New Roman"/>
          <w:sz w:val="24"/>
          <w:szCs w:val="24"/>
          <w:lang w:val="en-US"/>
        </w:rPr>
        <w:t xml:space="preserve"> as </w:t>
      </w:r>
      <w:proofErr w:type="gramStart"/>
      <w:r w:rsidRPr="005E30CF">
        <w:rPr>
          <w:rFonts w:ascii="Times New Roman" w:hAnsi="Times New Roman"/>
          <w:sz w:val="24"/>
          <w:szCs w:val="24"/>
          <w:lang w:val="en-US"/>
        </w:rPr>
        <w:t>predictor</w:t>
      </w:r>
      <w:r>
        <w:rPr>
          <w:rFonts w:ascii="Times New Roman" w:hAnsi="Times New Roman"/>
          <w:sz w:val="24"/>
          <w:szCs w:val="24"/>
          <w:lang w:val="en-US"/>
        </w:rPr>
        <w:t>,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however a</w:t>
      </w:r>
      <w:r w:rsidRPr="005E30CF">
        <w:rPr>
          <w:rFonts w:ascii="Times New Roman" w:hAnsi="Times New Roman"/>
          <w:sz w:val="24"/>
          <w:szCs w:val="24"/>
          <w:lang w:val="en-US"/>
        </w:rPr>
        <w:t xml:space="preserve">dditional relationships between diabetes and cardiovascular complex, diabetes and </w:t>
      </w:r>
      <w:r>
        <w:rPr>
          <w:rFonts w:ascii="Times New Roman" w:hAnsi="Times New Roman"/>
          <w:sz w:val="24"/>
          <w:szCs w:val="24"/>
          <w:lang w:val="en-US"/>
        </w:rPr>
        <w:t>hyper</w:t>
      </w:r>
      <w:r w:rsidRPr="005E30CF">
        <w:rPr>
          <w:rFonts w:ascii="Times New Roman" w:hAnsi="Times New Roman"/>
          <w:sz w:val="24"/>
          <w:szCs w:val="24"/>
          <w:lang w:val="en-US"/>
        </w:rPr>
        <w:t>lipidemia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5E30CF">
        <w:rPr>
          <w:rFonts w:ascii="Times New Roman" w:hAnsi="Times New Roman"/>
          <w:sz w:val="24"/>
          <w:szCs w:val="24"/>
          <w:lang w:val="en-US"/>
        </w:rPr>
        <w:t xml:space="preserve"> and cardiovascular complex and </w:t>
      </w:r>
      <w:r>
        <w:rPr>
          <w:rFonts w:ascii="Times New Roman" w:hAnsi="Times New Roman"/>
          <w:sz w:val="24"/>
          <w:szCs w:val="24"/>
          <w:lang w:val="en-US"/>
        </w:rPr>
        <w:t>hyper</w:t>
      </w:r>
      <w:r w:rsidRPr="005E30CF">
        <w:rPr>
          <w:rFonts w:ascii="Times New Roman" w:hAnsi="Times New Roman"/>
          <w:sz w:val="24"/>
          <w:szCs w:val="24"/>
          <w:lang w:val="en-US"/>
        </w:rPr>
        <w:t xml:space="preserve">lipidemia were introduced to accommodate for </w:t>
      </w:r>
      <w:r>
        <w:rPr>
          <w:rFonts w:ascii="Times New Roman" w:hAnsi="Times New Roman"/>
          <w:sz w:val="24"/>
          <w:szCs w:val="24"/>
          <w:lang w:val="en-US"/>
        </w:rPr>
        <w:t>established associations</w:t>
      </w:r>
      <w:r w:rsidRPr="005E30C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in </w:t>
      </w:r>
      <w:r w:rsidRPr="0066246A">
        <w:rPr>
          <w:rFonts w:ascii="Times New Roman" w:hAnsi="Times New Roman"/>
          <w:sz w:val="24"/>
          <w:szCs w:val="24"/>
          <w:lang w:val="en-US"/>
        </w:rPr>
        <w:t xml:space="preserve">line with the results </w:t>
      </w:r>
      <w:r w:rsidR="0066246A" w:rsidRPr="0066246A">
        <w:rPr>
          <w:rFonts w:ascii="Times New Roman" w:hAnsi="Times New Roman"/>
          <w:sz w:val="24"/>
          <w:szCs w:val="24"/>
          <w:lang w:val="en-US"/>
        </w:rPr>
        <w:t xml:space="preserve">of </w:t>
      </w:r>
      <w:r w:rsidR="000D49CD">
        <w:rPr>
          <w:rFonts w:ascii="Times New Roman" w:hAnsi="Times New Roman"/>
          <w:sz w:val="24"/>
          <w:szCs w:val="24"/>
          <w:lang w:val="en-US"/>
        </w:rPr>
        <w:t>Fig</w:t>
      </w:r>
      <w:r w:rsidR="0066246A" w:rsidRPr="0066246A">
        <w:rPr>
          <w:rFonts w:ascii="Times New Roman" w:hAnsi="Times New Roman"/>
          <w:sz w:val="24"/>
          <w:szCs w:val="24"/>
          <w:lang w:val="en-US"/>
        </w:rPr>
        <w:t xml:space="preserve"> 2</w:t>
      </w:r>
      <w:r w:rsidRPr="0066246A">
        <w:rPr>
          <w:rFonts w:ascii="Times New Roman" w:hAnsi="Times New Roman"/>
          <w:sz w:val="24"/>
          <w:szCs w:val="24"/>
          <w:lang w:val="en-US"/>
        </w:rPr>
        <w:t>. All of the</w:t>
      </w:r>
      <w:r w:rsidRPr="005E30CF">
        <w:rPr>
          <w:rFonts w:ascii="Times New Roman" w:hAnsi="Times New Roman"/>
          <w:sz w:val="24"/>
          <w:szCs w:val="24"/>
          <w:lang w:val="en-US"/>
        </w:rPr>
        <w:t xml:space="preserve"> relationships shown </w:t>
      </w:r>
      <w:r>
        <w:rPr>
          <w:rFonts w:ascii="Times New Roman" w:hAnsi="Times New Roman"/>
          <w:sz w:val="24"/>
          <w:szCs w:val="24"/>
          <w:lang w:val="en-US"/>
        </w:rPr>
        <w:t xml:space="preserve">in </w:t>
      </w:r>
      <w:r w:rsidR="007B0E44">
        <w:rPr>
          <w:rFonts w:ascii="Times New Roman" w:hAnsi="Times New Roman"/>
          <w:sz w:val="24"/>
          <w:szCs w:val="24"/>
          <w:lang w:val="en-US"/>
        </w:rPr>
        <w:t xml:space="preserve">S1 </w:t>
      </w:r>
      <w:r w:rsidR="000D49CD">
        <w:rPr>
          <w:rFonts w:ascii="Times New Roman" w:hAnsi="Times New Roman"/>
          <w:sz w:val="24"/>
          <w:szCs w:val="24"/>
          <w:lang w:val="en-US"/>
        </w:rPr>
        <w:t>Fig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E30CF">
        <w:rPr>
          <w:rFonts w:ascii="Times New Roman" w:hAnsi="Times New Roman"/>
          <w:sz w:val="24"/>
          <w:szCs w:val="24"/>
          <w:lang w:val="en-US"/>
        </w:rPr>
        <w:t xml:space="preserve">were statistically significant (p&lt;0.05 each), with a chi-squared of </w:t>
      </w:r>
      <w:r>
        <w:rPr>
          <w:rFonts w:ascii="Times New Roman" w:hAnsi="Times New Roman"/>
          <w:sz w:val="24"/>
          <w:szCs w:val="24"/>
          <w:lang w:val="en-US"/>
        </w:rPr>
        <w:t>4.67</w:t>
      </w:r>
      <w:r w:rsidRPr="005E30CF">
        <w:rPr>
          <w:rFonts w:ascii="Times New Roman" w:hAnsi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/>
          <w:sz w:val="24"/>
          <w:szCs w:val="24"/>
          <w:lang w:val="en-US"/>
        </w:rPr>
        <w:t>nd 5 degrees of freedom (p=0.46</w:t>
      </w:r>
      <w:r w:rsidRPr="005E30CF">
        <w:rPr>
          <w:rFonts w:ascii="Times New Roman" w:hAnsi="Times New Roman"/>
          <w:sz w:val="24"/>
          <w:szCs w:val="24"/>
          <w:lang w:val="en-US"/>
        </w:rPr>
        <w:t xml:space="preserve">; please note that p-values &gt;0.05 indicate acceptability of the model). </w:t>
      </w:r>
    </w:p>
    <w:p w:rsidR="004439AD" w:rsidRPr="00E97508" w:rsidRDefault="00783B62" w:rsidP="004439AD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E97508">
        <w:rPr>
          <w:rFonts w:ascii="Times New Roman" w:hAnsi="Times New Roman"/>
          <w:b/>
          <w:sz w:val="24"/>
          <w:szCs w:val="24"/>
          <w:lang w:val="en-US"/>
        </w:rPr>
        <w:lastRenderedPageBreak/>
        <w:t>S1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439AD" w:rsidRPr="00E97508">
        <w:rPr>
          <w:rFonts w:ascii="Times New Roman" w:hAnsi="Times New Roman"/>
          <w:b/>
          <w:sz w:val="24"/>
          <w:szCs w:val="24"/>
          <w:lang w:val="en-US"/>
        </w:rPr>
        <w:t>Fig</w:t>
      </w:r>
      <w:r w:rsidR="004439AD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 w:rsidR="004439A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4439AD">
        <w:rPr>
          <w:rFonts w:ascii="Times New Roman" w:hAnsi="Times New Roman"/>
          <w:b/>
          <w:sz w:val="24"/>
          <w:szCs w:val="24"/>
          <w:lang w:val="en-US"/>
        </w:rPr>
        <w:t>Premliminary</w:t>
      </w:r>
      <w:proofErr w:type="spellEnd"/>
      <w:r w:rsidR="004439AD">
        <w:rPr>
          <w:rFonts w:ascii="Times New Roman" w:hAnsi="Times New Roman"/>
          <w:b/>
          <w:sz w:val="24"/>
          <w:szCs w:val="24"/>
          <w:lang w:val="en-US"/>
        </w:rPr>
        <w:t xml:space="preserve"> path analysis model 1. </w:t>
      </w:r>
      <w:proofErr w:type="gramStart"/>
      <w:r w:rsidR="004439AD" w:rsidRPr="00E97508">
        <w:rPr>
          <w:rFonts w:ascii="Times New Roman" w:hAnsi="Times New Roman"/>
          <w:sz w:val="24"/>
          <w:szCs w:val="24"/>
          <w:lang w:val="en-US"/>
        </w:rPr>
        <w:t>Preliminary path analysis model comprising two layers, on the top risk factors and as intermediate layer comorbidities.</w:t>
      </w:r>
      <w:proofErr w:type="gramEnd"/>
      <w:r w:rsidR="004439AD" w:rsidRPr="00E97508">
        <w:rPr>
          <w:rFonts w:ascii="Times New Roman" w:hAnsi="Times New Roman"/>
          <w:sz w:val="24"/>
          <w:szCs w:val="24"/>
          <w:lang w:val="en-US"/>
        </w:rPr>
        <w:t xml:space="preserve"> All of the relationships shown were statistically significant (p&lt;0.05 each). Error terms of dependent variables have been omitted for the sake of clarity. There were no significant correlations between the independent variables.</w:t>
      </w:r>
    </w:p>
    <w:p w:rsidR="00811AC5" w:rsidRPr="00E97508" w:rsidRDefault="00811AC5" w:rsidP="006735DF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735DF" w:rsidRPr="00D15962" w:rsidRDefault="006735DF" w:rsidP="006735DF">
      <w:pPr>
        <w:spacing w:line="48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D15962">
        <w:rPr>
          <w:rFonts w:ascii="Times New Roman" w:hAnsi="Times New Roman"/>
          <w:b/>
          <w:sz w:val="28"/>
          <w:szCs w:val="28"/>
          <w:lang w:val="en-US"/>
        </w:rPr>
        <w:t>Preliminary model for lung function</w:t>
      </w:r>
    </w:p>
    <w:p w:rsidR="006735DF" w:rsidRDefault="006735DF" w:rsidP="006735DF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second preliminary model comprised </w:t>
      </w:r>
      <w:r w:rsidRPr="005E30CF">
        <w:rPr>
          <w:rFonts w:ascii="Times New Roman" w:hAnsi="Times New Roman"/>
          <w:sz w:val="24"/>
          <w:szCs w:val="24"/>
          <w:lang w:val="en-US"/>
        </w:rPr>
        <w:t>the top and bottom layers</w:t>
      </w:r>
      <w:r>
        <w:rPr>
          <w:rFonts w:ascii="Times New Roman" w:hAnsi="Times New Roman"/>
          <w:sz w:val="24"/>
          <w:szCs w:val="24"/>
          <w:lang w:val="en-US"/>
        </w:rPr>
        <w:t xml:space="preserve">, i.e. risk factors and lung function, and is </w:t>
      </w:r>
      <w:r w:rsidRPr="0066246A">
        <w:rPr>
          <w:rFonts w:ascii="Times New Roman" w:hAnsi="Times New Roman"/>
          <w:sz w:val="24"/>
          <w:szCs w:val="24"/>
          <w:lang w:val="en-US"/>
        </w:rPr>
        <w:t xml:space="preserve">illustrated in </w:t>
      </w:r>
      <w:r w:rsidR="00D15962">
        <w:rPr>
          <w:rFonts w:ascii="Times New Roman" w:hAnsi="Times New Roman"/>
          <w:sz w:val="24"/>
          <w:szCs w:val="24"/>
          <w:lang w:val="en-US"/>
        </w:rPr>
        <w:t xml:space="preserve">S2 </w:t>
      </w:r>
      <w:r w:rsidR="000D49CD">
        <w:rPr>
          <w:rFonts w:ascii="Times New Roman" w:hAnsi="Times New Roman"/>
          <w:sz w:val="24"/>
          <w:szCs w:val="24"/>
          <w:lang w:val="en-US"/>
        </w:rPr>
        <w:t>Fig</w:t>
      </w:r>
      <w:r w:rsidRPr="0066246A">
        <w:rPr>
          <w:rFonts w:ascii="Times New Roman" w:hAnsi="Times New Roman"/>
          <w:sz w:val="24"/>
          <w:szCs w:val="24"/>
          <w:lang w:val="en-US"/>
        </w:rPr>
        <w:t>. All</w:t>
      </w:r>
      <w:r w:rsidRPr="005E30CF">
        <w:rPr>
          <w:rFonts w:ascii="Times New Roman" w:hAnsi="Times New Roman"/>
          <w:sz w:val="24"/>
          <w:szCs w:val="24"/>
          <w:lang w:val="en-US"/>
        </w:rPr>
        <w:t xml:space="preserve"> relationships</w:t>
      </w:r>
      <w:r>
        <w:rPr>
          <w:rFonts w:ascii="Times New Roman" w:hAnsi="Times New Roman"/>
          <w:sz w:val="24"/>
          <w:szCs w:val="24"/>
          <w:lang w:val="en-US"/>
        </w:rPr>
        <w:t xml:space="preserve"> shown were</w:t>
      </w:r>
      <w:r w:rsidRPr="005E30CF">
        <w:rPr>
          <w:rFonts w:ascii="Times New Roman" w:hAnsi="Times New Roman"/>
          <w:sz w:val="24"/>
          <w:szCs w:val="24"/>
          <w:lang w:val="en-US"/>
        </w:rPr>
        <w:t xml:space="preserve"> statistically significant (p&lt;0.001 each).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5E30CF">
        <w:rPr>
          <w:rFonts w:ascii="Times New Roman" w:hAnsi="Times New Roman"/>
          <w:sz w:val="24"/>
          <w:szCs w:val="24"/>
          <w:lang w:val="en-US"/>
        </w:rPr>
        <w:t xml:space="preserve">orrelations between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predictors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E30CF">
        <w:rPr>
          <w:rFonts w:ascii="Times New Roman" w:hAnsi="Times New Roman"/>
          <w:sz w:val="24"/>
          <w:szCs w:val="24"/>
          <w:lang w:val="en-US"/>
        </w:rPr>
        <w:t>packyears</w:t>
      </w:r>
      <w:proofErr w:type="spellEnd"/>
      <w:r w:rsidRPr="005E30CF">
        <w:rPr>
          <w:rFonts w:ascii="Times New Roman" w:hAnsi="Times New Roman"/>
          <w:sz w:val="24"/>
          <w:szCs w:val="24"/>
          <w:lang w:val="en-US"/>
        </w:rPr>
        <w:t>, age and BMI were included to acco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5E30CF">
        <w:rPr>
          <w:rFonts w:ascii="Times New Roman" w:hAnsi="Times New Roman"/>
          <w:sz w:val="24"/>
          <w:szCs w:val="24"/>
          <w:lang w:val="en-US"/>
        </w:rPr>
        <w:t>modate for their association</w:t>
      </w:r>
      <w:r>
        <w:rPr>
          <w:rFonts w:ascii="Times New Roman" w:hAnsi="Times New Roman"/>
          <w:sz w:val="24"/>
          <w:szCs w:val="24"/>
          <w:lang w:val="en-US"/>
        </w:rPr>
        <w:t>, whereas g</w:t>
      </w:r>
      <w:r w:rsidRPr="005E30CF">
        <w:rPr>
          <w:rFonts w:ascii="Times New Roman" w:hAnsi="Times New Roman"/>
          <w:sz w:val="24"/>
          <w:szCs w:val="24"/>
          <w:lang w:val="en-US"/>
        </w:rPr>
        <w:t xml:space="preserve">ender was </w:t>
      </w:r>
      <w:r>
        <w:rPr>
          <w:rFonts w:ascii="Times New Roman" w:hAnsi="Times New Roman"/>
          <w:sz w:val="24"/>
          <w:szCs w:val="24"/>
          <w:lang w:val="en-US"/>
        </w:rPr>
        <w:t>omitted</w:t>
      </w:r>
      <w:r w:rsidRPr="005E30C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 it</w:t>
      </w:r>
      <w:r w:rsidRPr="005E30CF">
        <w:rPr>
          <w:rFonts w:ascii="Times New Roman" w:hAnsi="Times New Roman"/>
          <w:sz w:val="24"/>
          <w:szCs w:val="24"/>
          <w:lang w:val="en-US"/>
        </w:rPr>
        <w:t xml:space="preserve"> turned out to be not significant, if </w:t>
      </w:r>
      <w:r>
        <w:rPr>
          <w:rFonts w:ascii="Times New Roman" w:hAnsi="Times New Roman"/>
          <w:sz w:val="24"/>
          <w:szCs w:val="24"/>
          <w:lang w:val="en-US"/>
        </w:rPr>
        <w:t>associations</w:t>
      </w:r>
      <w:r w:rsidRPr="005E30CF">
        <w:rPr>
          <w:rFonts w:ascii="Times New Roman" w:hAnsi="Times New Roman"/>
          <w:sz w:val="24"/>
          <w:szCs w:val="24"/>
          <w:lang w:val="en-US"/>
        </w:rPr>
        <w:t xml:space="preserve"> between lung function parameters were </w:t>
      </w:r>
      <w:r>
        <w:rPr>
          <w:rFonts w:ascii="Times New Roman" w:hAnsi="Times New Roman"/>
          <w:sz w:val="24"/>
          <w:szCs w:val="24"/>
          <w:lang w:val="en-US"/>
        </w:rPr>
        <w:t>allowed</w:t>
      </w:r>
      <w:r w:rsidRPr="005E30CF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These associations were modelled</w:t>
      </w:r>
      <w:r w:rsidRPr="005E30C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 links from</w:t>
      </w:r>
      <w:r w:rsidRPr="005E30CF">
        <w:rPr>
          <w:rFonts w:ascii="Times New Roman" w:hAnsi="Times New Roman"/>
          <w:sz w:val="24"/>
          <w:szCs w:val="24"/>
          <w:lang w:val="en-US"/>
        </w:rPr>
        <w:t xml:space="preserve"> ITGV to FEV</w:t>
      </w:r>
      <w:r w:rsidRPr="005E30CF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5E30CF">
        <w:rPr>
          <w:rFonts w:ascii="Times New Roman" w:hAnsi="Times New Roman"/>
          <w:sz w:val="24"/>
          <w:szCs w:val="24"/>
          <w:lang w:val="en-US"/>
        </w:rPr>
        <w:t xml:space="preserve"> and KCO, </w:t>
      </w:r>
      <w:r>
        <w:rPr>
          <w:rFonts w:ascii="Times New Roman" w:hAnsi="Times New Roman"/>
          <w:sz w:val="24"/>
          <w:szCs w:val="24"/>
          <w:lang w:val="en-US"/>
        </w:rPr>
        <w:t>and as a link from</w:t>
      </w:r>
      <w:r w:rsidRPr="005E30CF">
        <w:rPr>
          <w:rFonts w:ascii="Times New Roman" w:hAnsi="Times New Roman"/>
          <w:sz w:val="24"/>
          <w:szCs w:val="24"/>
          <w:lang w:val="en-US"/>
        </w:rPr>
        <w:t xml:space="preserve"> KCO to FEV</w:t>
      </w:r>
      <w:r w:rsidRPr="005E30CF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. Basically we tried t</w:t>
      </w:r>
      <w:r w:rsidRPr="005E30CF">
        <w:rPr>
          <w:rFonts w:ascii="Times New Roman" w:hAnsi="Times New Roman"/>
          <w:sz w:val="24"/>
          <w:szCs w:val="24"/>
          <w:lang w:val="en-US"/>
        </w:rPr>
        <w:t xml:space="preserve">o incorporate the </w:t>
      </w:r>
      <w:r>
        <w:rPr>
          <w:rFonts w:ascii="Times New Roman" w:hAnsi="Times New Roman"/>
          <w:sz w:val="24"/>
          <w:szCs w:val="24"/>
          <w:lang w:val="en-US"/>
        </w:rPr>
        <w:t xml:space="preserve">known </w:t>
      </w:r>
      <w:r w:rsidRPr="005E30CF">
        <w:rPr>
          <w:rFonts w:ascii="Times New Roman" w:hAnsi="Times New Roman"/>
          <w:sz w:val="24"/>
          <w:szCs w:val="24"/>
          <w:lang w:val="en-US"/>
        </w:rPr>
        <w:t>inverse relation between lung volume and KCO</w:t>
      </w:r>
      <w:r>
        <w:rPr>
          <w:rFonts w:ascii="Times New Roman" w:hAnsi="Times New Roman"/>
          <w:sz w:val="24"/>
          <w:szCs w:val="24"/>
          <w:lang w:val="en-US"/>
        </w:rPr>
        <w:t>, as well as lung volume and obstruction</w:t>
      </w:r>
      <w:r w:rsidRPr="005E30CF">
        <w:rPr>
          <w:rFonts w:ascii="Times New Roman" w:hAnsi="Times New Roman"/>
          <w:sz w:val="24"/>
          <w:szCs w:val="24"/>
          <w:lang w:val="en-US"/>
        </w:rPr>
        <w:t xml:space="preserve">. The </w:t>
      </w:r>
      <w:r>
        <w:rPr>
          <w:rFonts w:ascii="Times New Roman" w:hAnsi="Times New Roman"/>
          <w:sz w:val="24"/>
          <w:szCs w:val="24"/>
          <w:lang w:val="en-US"/>
        </w:rPr>
        <w:t xml:space="preserve">second </w:t>
      </w:r>
      <w:r w:rsidRPr="005E30CF">
        <w:rPr>
          <w:rFonts w:ascii="Times New Roman" w:hAnsi="Times New Roman"/>
          <w:sz w:val="24"/>
          <w:szCs w:val="24"/>
          <w:lang w:val="en-US"/>
        </w:rPr>
        <w:t xml:space="preserve">model </w:t>
      </w:r>
      <w:r>
        <w:rPr>
          <w:rFonts w:ascii="Times New Roman" w:hAnsi="Times New Roman"/>
          <w:sz w:val="24"/>
          <w:szCs w:val="24"/>
          <w:lang w:val="en-US"/>
        </w:rPr>
        <w:t xml:space="preserve">also </w:t>
      </w:r>
      <w:r w:rsidRPr="005E30CF">
        <w:rPr>
          <w:rFonts w:ascii="Times New Roman" w:hAnsi="Times New Roman"/>
          <w:sz w:val="24"/>
          <w:szCs w:val="24"/>
          <w:lang w:val="en-US"/>
        </w:rPr>
        <w:t xml:space="preserve">fitted the data well, with a chi-squared of </w:t>
      </w:r>
      <w:r>
        <w:rPr>
          <w:rFonts w:ascii="Times New Roman" w:hAnsi="Times New Roman"/>
          <w:sz w:val="24"/>
          <w:szCs w:val="24"/>
          <w:lang w:val="en-US"/>
        </w:rPr>
        <w:t>4.67</w:t>
      </w:r>
      <w:r w:rsidRPr="005E30CF">
        <w:rPr>
          <w:rFonts w:ascii="Times New Roman" w:hAnsi="Times New Roman"/>
          <w:sz w:val="24"/>
          <w:szCs w:val="24"/>
          <w:lang w:val="en-US"/>
        </w:rPr>
        <w:t xml:space="preserve"> at 5 degrees of freedom (p=0.4</w:t>
      </w:r>
      <w:r>
        <w:rPr>
          <w:rFonts w:ascii="Times New Roman" w:hAnsi="Times New Roman"/>
          <w:sz w:val="24"/>
          <w:szCs w:val="24"/>
          <w:lang w:val="en-US"/>
        </w:rPr>
        <w:t>6; see above</w:t>
      </w:r>
      <w:r w:rsidRPr="005E30CF">
        <w:rPr>
          <w:rFonts w:ascii="Times New Roman" w:hAnsi="Times New Roman"/>
          <w:sz w:val="24"/>
          <w:szCs w:val="24"/>
          <w:lang w:val="en-US"/>
        </w:rPr>
        <w:t>).</w:t>
      </w:r>
    </w:p>
    <w:p w:rsidR="00151623" w:rsidRPr="00D15962" w:rsidRDefault="00783B62" w:rsidP="00D159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1623">
        <w:rPr>
          <w:rFonts w:ascii="Times New Roman" w:hAnsi="Times New Roman"/>
          <w:b/>
          <w:bCs/>
          <w:sz w:val="24"/>
          <w:szCs w:val="24"/>
        </w:rPr>
        <w:t>S2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439AD" w:rsidRPr="00151623">
        <w:rPr>
          <w:rFonts w:ascii="Times New Roman" w:hAnsi="Times New Roman"/>
          <w:b/>
          <w:bCs/>
          <w:sz w:val="24"/>
          <w:szCs w:val="24"/>
        </w:rPr>
        <w:t>Fig</w:t>
      </w:r>
      <w:r w:rsidR="004439AD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="004439AD">
        <w:rPr>
          <w:rFonts w:ascii="Times New Roman" w:hAnsi="Times New Roman"/>
          <w:b/>
          <w:bCs/>
          <w:sz w:val="24"/>
          <w:szCs w:val="24"/>
        </w:rPr>
        <w:t>Preliminary</w:t>
      </w:r>
      <w:proofErr w:type="spellEnd"/>
      <w:r w:rsidR="004439A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439AD">
        <w:rPr>
          <w:rFonts w:ascii="Times New Roman" w:hAnsi="Times New Roman"/>
          <w:b/>
          <w:bCs/>
          <w:sz w:val="24"/>
          <w:szCs w:val="24"/>
        </w:rPr>
        <w:t>path</w:t>
      </w:r>
      <w:proofErr w:type="spellEnd"/>
      <w:r w:rsidR="004439A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439AD">
        <w:rPr>
          <w:rFonts w:ascii="Times New Roman" w:hAnsi="Times New Roman"/>
          <w:b/>
          <w:bCs/>
          <w:sz w:val="24"/>
          <w:szCs w:val="24"/>
        </w:rPr>
        <w:t>analysis</w:t>
      </w:r>
      <w:proofErr w:type="spellEnd"/>
      <w:r w:rsidR="004439A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439AD">
        <w:rPr>
          <w:rFonts w:ascii="Times New Roman" w:hAnsi="Times New Roman"/>
          <w:b/>
          <w:bCs/>
          <w:sz w:val="24"/>
          <w:szCs w:val="24"/>
        </w:rPr>
        <w:t>model</w:t>
      </w:r>
      <w:proofErr w:type="spellEnd"/>
      <w:r w:rsidR="004439AD">
        <w:rPr>
          <w:rFonts w:ascii="Times New Roman" w:hAnsi="Times New Roman"/>
          <w:b/>
          <w:bCs/>
          <w:sz w:val="24"/>
          <w:szCs w:val="24"/>
        </w:rPr>
        <w:t xml:space="preserve"> 2. </w:t>
      </w:r>
      <w:proofErr w:type="spellStart"/>
      <w:r w:rsidR="004439AD" w:rsidRPr="00151623">
        <w:rPr>
          <w:rFonts w:ascii="Times New Roman" w:hAnsi="Times New Roman"/>
          <w:sz w:val="24"/>
          <w:szCs w:val="24"/>
        </w:rPr>
        <w:t>Preliminary</w:t>
      </w:r>
      <w:proofErr w:type="spellEnd"/>
      <w:r w:rsidR="004439AD" w:rsidRPr="00151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39AD" w:rsidRPr="00151623">
        <w:rPr>
          <w:rFonts w:ascii="Times New Roman" w:hAnsi="Times New Roman"/>
          <w:sz w:val="24"/>
          <w:szCs w:val="24"/>
        </w:rPr>
        <w:t>path</w:t>
      </w:r>
      <w:proofErr w:type="spellEnd"/>
      <w:r w:rsidR="004439AD" w:rsidRPr="00151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39AD" w:rsidRPr="00151623">
        <w:rPr>
          <w:rFonts w:ascii="Times New Roman" w:hAnsi="Times New Roman"/>
          <w:sz w:val="24"/>
          <w:szCs w:val="24"/>
        </w:rPr>
        <w:t>analysis</w:t>
      </w:r>
      <w:proofErr w:type="spellEnd"/>
      <w:r w:rsidR="004439AD" w:rsidRPr="00151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39AD" w:rsidRPr="00151623">
        <w:rPr>
          <w:rFonts w:ascii="Times New Roman" w:hAnsi="Times New Roman"/>
          <w:sz w:val="24"/>
          <w:szCs w:val="24"/>
        </w:rPr>
        <w:t>model</w:t>
      </w:r>
      <w:proofErr w:type="spellEnd"/>
      <w:r w:rsidR="004439AD" w:rsidRPr="00151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39AD" w:rsidRPr="00151623">
        <w:rPr>
          <w:rFonts w:ascii="Times New Roman" w:hAnsi="Times New Roman"/>
          <w:sz w:val="24"/>
          <w:szCs w:val="24"/>
        </w:rPr>
        <w:t>comprising</w:t>
      </w:r>
      <w:proofErr w:type="spellEnd"/>
      <w:r w:rsidR="004439AD" w:rsidRPr="00151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39AD" w:rsidRPr="00151623">
        <w:rPr>
          <w:rFonts w:ascii="Times New Roman" w:hAnsi="Times New Roman"/>
          <w:sz w:val="24"/>
          <w:szCs w:val="24"/>
        </w:rPr>
        <w:t>two</w:t>
      </w:r>
      <w:proofErr w:type="spellEnd"/>
      <w:r w:rsidR="004439AD" w:rsidRPr="00151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39AD" w:rsidRPr="00151623">
        <w:rPr>
          <w:rFonts w:ascii="Times New Roman" w:hAnsi="Times New Roman"/>
          <w:sz w:val="24"/>
          <w:szCs w:val="24"/>
        </w:rPr>
        <w:t>layers</w:t>
      </w:r>
      <w:proofErr w:type="spellEnd"/>
      <w:r w:rsidR="004439AD" w:rsidRPr="00151623">
        <w:rPr>
          <w:rFonts w:ascii="Times New Roman" w:hAnsi="Times New Roman"/>
          <w:sz w:val="24"/>
          <w:szCs w:val="24"/>
        </w:rPr>
        <w:t xml:space="preserve">, on </w:t>
      </w:r>
      <w:proofErr w:type="spellStart"/>
      <w:r w:rsidR="004439AD" w:rsidRPr="00151623">
        <w:rPr>
          <w:rFonts w:ascii="Times New Roman" w:hAnsi="Times New Roman"/>
          <w:sz w:val="24"/>
          <w:szCs w:val="24"/>
        </w:rPr>
        <w:t>the</w:t>
      </w:r>
      <w:proofErr w:type="spellEnd"/>
      <w:r w:rsidR="004439AD" w:rsidRPr="00151623">
        <w:rPr>
          <w:rFonts w:ascii="Times New Roman" w:hAnsi="Times New Roman"/>
          <w:sz w:val="24"/>
          <w:szCs w:val="24"/>
        </w:rPr>
        <w:t xml:space="preserve"> top </w:t>
      </w:r>
      <w:proofErr w:type="spellStart"/>
      <w:r w:rsidR="004439AD" w:rsidRPr="00151623">
        <w:rPr>
          <w:rFonts w:ascii="Times New Roman" w:hAnsi="Times New Roman"/>
          <w:sz w:val="24"/>
          <w:szCs w:val="24"/>
        </w:rPr>
        <w:t>risk</w:t>
      </w:r>
      <w:proofErr w:type="spellEnd"/>
      <w:r w:rsidR="004439AD" w:rsidRPr="00151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39AD" w:rsidRPr="00151623">
        <w:rPr>
          <w:rFonts w:ascii="Times New Roman" w:hAnsi="Times New Roman"/>
          <w:sz w:val="24"/>
          <w:szCs w:val="24"/>
        </w:rPr>
        <w:t>factors</w:t>
      </w:r>
      <w:proofErr w:type="spellEnd"/>
      <w:r w:rsidR="004439AD" w:rsidRPr="00151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39AD" w:rsidRPr="00151623">
        <w:rPr>
          <w:rFonts w:ascii="Times New Roman" w:hAnsi="Times New Roman"/>
          <w:sz w:val="24"/>
          <w:szCs w:val="24"/>
        </w:rPr>
        <w:t>and</w:t>
      </w:r>
      <w:proofErr w:type="spellEnd"/>
      <w:r w:rsidR="004439AD" w:rsidRPr="00151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39AD" w:rsidRPr="00151623">
        <w:rPr>
          <w:rFonts w:ascii="Times New Roman" w:hAnsi="Times New Roman"/>
          <w:sz w:val="24"/>
          <w:szCs w:val="24"/>
        </w:rPr>
        <w:t>as</w:t>
      </w:r>
      <w:proofErr w:type="spellEnd"/>
      <w:r w:rsidR="004439AD" w:rsidRPr="00151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39AD" w:rsidRPr="00151623">
        <w:rPr>
          <w:rFonts w:ascii="Times New Roman" w:hAnsi="Times New Roman"/>
          <w:sz w:val="24"/>
          <w:szCs w:val="24"/>
        </w:rPr>
        <w:t>bottom</w:t>
      </w:r>
      <w:proofErr w:type="spellEnd"/>
      <w:r w:rsidR="004439AD" w:rsidRPr="00151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39AD" w:rsidRPr="00151623">
        <w:rPr>
          <w:rFonts w:ascii="Times New Roman" w:hAnsi="Times New Roman"/>
          <w:sz w:val="24"/>
          <w:szCs w:val="24"/>
        </w:rPr>
        <w:t>layer</w:t>
      </w:r>
      <w:proofErr w:type="spellEnd"/>
      <w:r w:rsidR="004439AD" w:rsidRPr="00151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39AD" w:rsidRPr="00151623">
        <w:rPr>
          <w:rFonts w:ascii="Times New Roman" w:hAnsi="Times New Roman"/>
          <w:sz w:val="24"/>
          <w:szCs w:val="24"/>
        </w:rPr>
        <w:t>lung</w:t>
      </w:r>
      <w:proofErr w:type="spellEnd"/>
      <w:r w:rsidR="004439AD" w:rsidRPr="00151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39AD" w:rsidRPr="00151623">
        <w:rPr>
          <w:rFonts w:ascii="Times New Roman" w:hAnsi="Times New Roman"/>
          <w:sz w:val="24"/>
          <w:szCs w:val="24"/>
        </w:rPr>
        <w:t>function</w:t>
      </w:r>
      <w:proofErr w:type="spellEnd"/>
      <w:r w:rsidR="004439AD" w:rsidRPr="00151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39AD" w:rsidRPr="00151623">
        <w:rPr>
          <w:rFonts w:ascii="Times New Roman" w:hAnsi="Times New Roman"/>
          <w:sz w:val="24"/>
          <w:szCs w:val="24"/>
        </w:rPr>
        <w:t>parameters</w:t>
      </w:r>
      <w:proofErr w:type="spellEnd"/>
      <w:r w:rsidR="004439AD" w:rsidRPr="00151623">
        <w:rPr>
          <w:rFonts w:ascii="Times New Roman" w:hAnsi="Times New Roman"/>
          <w:sz w:val="24"/>
          <w:szCs w:val="24"/>
        </w:rPr>
        <w:t xml:space="preserve">. </w:t>
      </w:r>
      <w:r w:rsidR="004439AD" w:rsidRPr="00151623">
        <w:rPr>
          <w:rFonts w:ascii="Times New Roman" w:hAnsi="Times New Roman"/>
          <w:sz w:val="24"/>
          <w:szCs w:val="24"/>
          <w:lang w:val="en-US"/>
        </w:rPr>
        <w:t xml:space="preserve">All of the relationships shown were statistically significant (p&lt;0.05 each). Error terms of dependent variables have been omitted for the sake of clarity. There were no significant correlations between the independent variables. </w:t>
      </w:r>
    </w:p>
    <w:p w:rsidR="006735DF" w:rsidRPr="00D15962" w:rsidRDefault="00811AC5" w:rsidP="00A37E52">
      <w:pPr>
        <w:spacing w:line="480" w:lineRule="auto"/>
        <w:jc w:val="both"/>
        <w:rPr>
          <w:rFonts w:ascii="Times New Roman" w:hAnsi="Times New Roman"/>
          <w:b/>
          <w:sz w:val="36"/>
          <w:szCs w:val="36"/>
          <w:lang w:val="en-US"/>
        </w:rPr>
      </w:pPr>
      <w:r w:rsidRPr="00D15962">
        <w:rPr>
          <w:rFonts w:ascii="Times New Roman" w:hAnsi="Times New Roman"/>
          <w:b/>
          <w:sz w:val="36"/>
          <w:szCs w:val="36"/>
          <w:lang w:val="en-US"/>
        </w:rPr>
        <w:t>Literature</w:t>
      </w:r>
    </w:p>
    <w:p w:rsidR="006A4744" w:rsidRPr="00151623" w:rsidRDefault="006D4086" w:rsidP="00151623">
      <w:pPr>
        <w:spacing w:after="0" w:line="240" w:lineRule="auto"/>
        <w:ind w:left="720" w:hanging="720"/>
        <w:jc w:val="both"/>
        <w:rPr>
          <w:rFonts w:ascii="Times New Roman" w:hAnsi="Times New Roman"/>
          <w:noProof/>
          <w:szCs w:val="24"/>
          <w:lang w:val="en-US"/>
        </w:rPr>
      </w:pPr>
      <w:bookmarkStart w:id="1" w:name="_ENREF_24"/>
      <w:r>
        <w:rPr>
          <w:rFonts w:ascii="Times New Roman" w:hAnsi="Times New Roman"/>
          <w:noProof/>
          <w:szCs w:val="24"/>
          <w:lang w:val="en-US"/>
        </w:rPr>
        <w:t>1.</w:t>
      </w:r>
      <w:r>
        <w:rPr>
          <w:rFonts w:ascii="Times New Roman" w:hAnsi="Times New Roman"/>
          <w:noProof/>
          <w:szCs w:val="24"/>
          <w:lang w:val="en-US"/>
        </w:rPr>
        <w:tab/>
        <w:t xml:space="preserve">Hoyle RH (ed.): </w:t>
      </w:r>
      <w:r>
        <w:rPr>
          <w:rFonts w:ascii="Times New Roman" w:hAnsi="Times New Roman"/>
          <w:b/>
          <w:noProof/>
          <w:szCs w:val="24"/>
          <w:lang w:val="en-US"/>
        </w:rPr>
        <w:t>Handbook of Structural Equation Modeling</w:t>
      </w:r>
      <w:r>
        <w:rPr>
          <w:rFonts w:ascii="Times New Roman" w:hAnsi="Times New Roman"/>
          <w:noProof/>
          <w:szCs w:val="24"/>
          <w:lang w:val="en-US"/>
        </w:rPr>
        <w:t>; 2015.</w:t>
      </w:r>
      <w:bookmarkEnd w:id="1"/>
      <w:bookmarkEnd w:id="0"/>
    </w:p>
    <w:sectPr w:rsidR="006A4744" w:rsidRPr="00151623" w:rsidSect="006A474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5B"/>
    <w:rsid w:val="00086D9A"/>
    <w:rsid w:val="000B76F1"/>
    <w:rsid w:val="000D49CD"/>
    <w:rsid w:val="00137072"/>
    <w:rsid w:val="00151623"/>
    <w:rsid w:val="001F541D"/>
    <w:rsid w:val="00266EBC"/>
    <w:rsid w:val="002E53C2"/>
    <w:rsid w:val="0034124F"/>
    <w:rsid w:val="00365949"/>
    <w:rsid w:val="003A1409"/>
    <w:rsid w:val="003A61E1"/>
    <w:rsid w:val="003C3A84"/>
    <w:rsid w:val="003C4550"/>
    <w:rsid w:val="00405EFC"/>
    <w:rsid w:val="00436523"/>
    <w:rsid w:val="004439AD"/>
    <w:rsid w:val="004A38E4"/>
    <w:rsid w:val="004F22A5"/>
    <w:rsid w:val="00524020"/>
    <w:rsid w:val="00537035"/>
    <w:rsid w:val="00556E84"/>
    <w:rsid w:val="005B7055"/>
    <w:rsid w:val="005C741A"/>
    <w:rsid w:val="00613915"/>
    <w:rsid w:val="006605A2"/>
    <w:rsid w:val="0066246A"/>
    <w:rsid w:val="006735DF"/>
    <w:rsid w:val="006A4744"/>
    <w:rsid w:val="006C0D78"/>
    <w:rsid w:val="006D4086"/>
    <w:rsid w:val="00783B62"/>
    <w:rsid w:val="007A6346"/>
    <w:rsid w:val="007B0E44"/>
    <w:rsid w:val="00811AC5"/>
    <w:rsid w:val="008224BB"/>
    <w:rsid w:val="00850158"/>
    <w:rsid w:val="00900EBA"/>
    <w:rsid w:val="00934E96"/>
    <w:rsid w:val="00A10747"/>
    <w:rsid w:val="00A37E52"/>
    <w:rsid w:val="00AC62A9"/>
    <w:rsid w:val="00B96780"/>
    <w:rsid w:val="00BF7A5B"/>
    <w:rsid w:val="00D15962"/>
    <w:rsid w:val="00D87F79"/>
    <w:rsid w:val="00E63A80"/>
    <w:rsid w:val="00E97508"/>
    <w:rsid w:val="00F669C9"/>
    <w:rsid w:val="00F702F0"/>
    <w:rsid w:val="00F7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05A2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">
    <w:name w:val="Light Shading"/>
    <w:basedOn w:val="NormaleTabelle"/>
    <w:uiPriority w:val="60"/>
    <w:rsid w:val="006A47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E9750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5E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05A2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">
    <w:name w:val="Light Shading"/>
    <w:basedOn w:val="NormaleTabelle"/>
    <w:uiPriority w:val="60"/>
    <w:rsid w:val="006A47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E9750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5E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1418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der Universitaet Muenchen</Company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rjoerres</dc:creator>
  <cp:lastModifiedBy>g-pneumolo</cp:lastModifiedBy>
  <cp:revision>3</cp:revision>
  <dcterms:created xsi:type="dcterms:W3CDTF">2017-05-04T07:51:00Z</dcterms:created>
  <dcterms:modified xsi:type="dcterms:W3CDTF">2017-05-04T07:51:00Z</dcterms:modified>
</cp:coreProperties>
</file>