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B" w:rsidRPr="00256C5B" w:rsidRDefault="002E2448" w:rsidP="002E2448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B51495">
        <w:rPr>
          <w:rFonts w:ascii="Times New Roman" w:hAnsi="Times New Roman" w:cs="Times New Roman"/>
          <w:b/>
          <w:sz w:val="28"/>
          <w:szCs w:val="28"/>
          <w:lang w:val="en-GB"/>
        </w:rPr>
        <w:t xml:space="preserve">End Member </w:t>
      </w:r>
      <w:proofErr w:type="gramStart"/>
      <w:r w:rsidRPr="00B51495">
        <w:rPr>
          <w:rFonts w:ascii="Times New Roman" w:hAnsi="Times New Roman" w:cs="Times New Roman"/>
          <w:b/>
          <w:sz w:val="28"/>
          <w:szCs w:val="28"/>
          <w:lang w:val="en-GB"/>
        </w:rPr>
        <w:t>Modelling</w:t>
      </w:r>
      <w:proofErr w:type="gramEnd"/>
      <w:r w:rsidRPr="00B5149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grain-size spectra</w:t>
      </w:r>
    </w:p>
    <w:p w:rsidR="002E2448" w:rsidRPr="00B9155C" w:rsidRDefault="002E2448" w:rsidP="002E244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End-member analysis was performed to identify </w:t>
      </w:r>
      <w:proofErr w:type="spellStart"/>
      <w:r w:rsidRPr="00B9155C">
        <w:rPr>
          <w:rFonts w:ascii="Times New Roman" w:hAnsi="Times New Roman" w:cs="Times New Roman"/>
          <w:sz w:val="24"/>
          <w:szCs w:val="24"/>
          <w:lang w:val="en-GB"/>
        </w:rPr>
        <w:t>sedimentologically</w:t>
      </w:r>
      <w:proofErr w:type="spellEnd"/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 distinct components (end members) in the grain-size data set and study the temporal variations of the component fractions. The underlying assumption is that the variations in the measured grain-size distribution along the sampled profiles largely represent variations in the physical mixing ratios of a few end-member grain-size distributions so that the original data set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ij</m:t>
            </m:r>
          </m:sub>
        </m:sSub>
      </m:oMath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 (row index i=1,…, m samples and column index j=1,..., n grain size bins) can be approximated by a linear mixing model, </w:t>
      </w:r>
    </w:p>
    <w:p w:rsidR="002E2448" w:rsidRPr="0034774D" w:rsidRDefault="002E2448" w:rsidP="002E2448">
      <w:pPr>
        <w:spacing w:line="480" w:lineRule="auto"/>
        <w:rPr>
          <w:szCs w:val="24"/>
          <w:lang w:val="en-GB"/>
        </w:rPr>
      </w:pPr>
      <w:r w:rsidRPr="00237EA5">
        <w:object w:dxaOrig="9360" w:dyaOrig="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30pt" o:ole="">
            <v:imagedata r:id="rId7" o:title=""/>
          </v:shape>
          <o:OLEObject Type="Embed" ProgID="Word.Document.12" ShapeID="_x0000_i1025" DrawAspect="Content" ObjectID="_1543901761" r:id="rId8">
            <o:FieldCodes>\s</o:FieldCodes>
          </o:OLEObject>
        </w:object>
      </w:r>
      <w:proofErr w:type="gramStart"/>
      <w:r w:rsidRPr="006E6D32">
        <w:rPr>
          <w:rFonts w:ascii="Times New Roman" w:hAnsi="Times New Roman" w:cs="Times New Roman"/>
          <w:sz w:val="24"/>
          <w:szCs w:val="24"/>
          <w:lang w:val="en-GB"/>
        </w:rPr>
        <w:t>or</w:t>
      </w:r>
      <w:proofErr w:type="gramEnd"/>
      <w:r w:rsidRPr="006E6D32">
        <w:rPr>
          <w:rFonts w:ascii="Times New Roman" w:hAnsi="Times New Roman" w:cs="Times New Roman"/>
          <w:sz w:val="24"/>
          <w:szCs w:val="24"/>
          <w:lang w:val="en-GB"/>
        </w:rPr>
        <w:t>, in index notation,</w:t>
      </w:r>
    </w:p>
    <w:p w:rsidR="002E2448" w:rsidRPr="006E6D32" w:rsidRDefault="002E2448" w:rsidP="002E2448">
      <w:pPr>
        <w:spacing w:line="480" w:lineRule="auto"/>
        <w:rPr>
          <w:rFonts w:ascii="Times New Roman" w:hAnsi="Times New Roman" w:cs="Times New Roman"/>
          <w:szCs w:val="24"/>
        </w:rPr>
      </w:pPr>
      <w:r w:rsidRPr="00237EA5">
        <w:rPr>
          <w:szCs w:val="24"/>
        </w:rPr>
        <w:object w:dxaOrig="9360" w:dyaOrig="823">
          <v:shape id="_x0000_i1026" type="#_x0000_t75" style="width:469.2pt;height:40.2pt" o:ole="">
            <v:imagedata r:id="rId9" o:title=""/>
          </v:shape>
          <o:OLEObject Type="Embed" ProgID="Word.Document.12" ShapeID="_x0000_i1026" DrawAspect="Content" ObjectID="_1543901762" r:id="rId10">
            <o:FieldCodes>\s</o:FieldCodes>
          </o:OLEObject>
        </w:object>
      </w:r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max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≪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m</m:t>
        </m:r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is the number of end-members,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pi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is the relative contribution of the p-th end member to i-th sample,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p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T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=(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p1,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…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pn,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 xml:space="preserve">) </m:t>
        </m:r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is the grain-size distribution of the p-th end member, which is defined on the same discrete grain-size bins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GB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j=1,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…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,n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as the data set, and </w:t>
      </w:r>
      <m:oMath>
        <m:acc>
          <m:accPr>
            <m:chr m:val="̃"/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GB"/>
              </w:rPr>
              <m:t>ϵ</m:t>
            </m:r>
          </m:e>
        </m:acc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en-GB"/>
              </w:rPr>
              <m:t>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ij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is the matrix of the unexplained residuals. Since end-member analysis has its roots in factor analysis, it is customary to refer to the component fractions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pi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as factor scores and to the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pj 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>as factor loadings. We refer to the expression</w:t>
      </w:r>
    </w:p>
    <w:p w:rsidR="002E2448" w:rsidRPr="00B9155C" w:rsidRDefault="002E2448" w:rsidP="002E2448">
      <w:pPr>
        <w:spacing w:line="480" w:lineRule="auto"/>
        <w:rPr>
          <w:lang w:val="en-GB"/>
        </w:rPr>
      </w:pPr>
      <w:r>
        <w:object w:dxaOrig="9360" w:dyaOrig="593">
          <v:shape id="_x0000_i1027" type="#_x0000_t75" style="width:469.2pt;height:30pt" o:ole="">
            <v:imagedata r:id="rId11" o:title=""/>
          </v:shape>
          <o:OLEObject Type="Embed" ProgID="Word.Document.12" ShapeID="_x0000_i1027" DrawAspect="Content" ObjectID="_1543901763" r:id="rId12">
            <o:FieldCodes>\s</o:FieldCodes>
          </o:OLEObject>
        </w:object>
      </w:r>
    </w:p>
    <w:p w:rsidR="002E2448" w:rsidRPr="0099569B" w:rsidRDefault="002E2448" w:rsidP="002E2448">
      <w:pPr>
        <w:spacing w:line="480" w:lineRule="auto"/>
        <w:rPr>
          <w:szCs w:val="24"/>
          <w:lang w:val="en-GB"/>
        </w:rPr>
      </w:pPr>
      <w:proofErr w:type="gramStart"/>
      <w:r w:rsidRPr="006E6D32">
        <w:rPr>
          <w:rFonts w:ascii="Times New Roman" w:hAnsi="Times New Roman" w:cs="Times New Roman"/>
          <w:sz w:val="24"/>
          <w:szCs w:val="24"/>
          <w:lang w:val="en-GB"/>
        </w:rPr>
        <w:t>as</w:t>
      </w:r>
      <w:proofErr w:type="gramEnd"/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predicted data. The following normalizations apply to Eq. (1)</w:t>
      </w:r>
      <w:proofErr w:type="gramStart"/>
      <w:r w:rsidRPr="006E6D32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 w:rsidRPr="006E6D32">
        <w:rPr>
          <w:lang w:val="en-GB"/>
        </w:rPr>
        <w:br/>
      </w:r>
      <w:r w:rsidRPr="006E6D32">
        <w:rPr>
          <w:lang w:val="en-GB"/>
        </w:rPr>
        <w:br/>
      </w:r>
      <w:r>
        <w:object w:dxaOrig="9360" w:dyaOrig="778">
          <v:shape id="_x0000_i1028" type="#_x0000_t75" style="width:469.2pt;height:39pt" o:ole="">
            <v:imagedata r:id="rId13" o:title=""/>
          </v:shape>
          <o:OLEObject Type="Embed" ProgID="Word.Document.12" ShapeID="_x0000_i1028" DrawAspect="Content" ObjectID="_1543901764" r:id="rId14">
            <o:FieldCodes>\s</o:FieldCodes>
          </o:OLEObject>
        </w:object>
      </w:r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Here we sketch the two essential steps of procedure for obtaining the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vectors: First, the full set of eigenvectors up (p=1,…,m) of the outer product matrix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ij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T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ij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is reduced to those with significant eigenvalues (Note: The eigenvector with the largest eigenvalue is just the mean grain-size spectrum over all samples). </w:t>
      </w:r>
      <w:proofErr w:type="gramStart"/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proofErr w:type="gramEnd"/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obtained in the next step by rotating the reduced set of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so as to maximize the varimax criterion defined by Kaiser (1958). Details of the procedure, including quantile transformations of the data, are described in </w:t>
      </w:r>
      <w:r w:rsidR="00E010C7" w:rsidRPr="006E6D32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79291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&lt;EndNote&gt;&lt;Cite&gt;&lt;Author&gt;Dietze&lt;/Author&gt;&lt;Year&gt;2012&lt;/Year&gt;&lt;RecNum&gt;153&lt;/RecNum&gt;&lt;DisplayText&gt;&lt;style face="superscript"&gt;1&lt;/style&gt;&lt;/DisplayText&gt;&lt;record&gt;&lt;rec-number&gt;153&lt;/rec-number&gt;&lt;foreign-keys&gt;&lt;key app="EN" db-id="w0t00e098avxpqefp295fpvba5reszsa0erx" timestamp="0"&gt;153&lt;/key&gt;&lt;/foreign-keys&gt;&lt;ref-type name="Journal Article"&gt;17&lt;/ref-type&gt;&lt;contributors&gt;&lt;authors&gt;&lt;author&gt;Dietze, Elisabeth&lt;/author&gt;&lt;author&gt;Hartmann, Kai&lt;/author&gt;&lt;author&gt;Diekmann, Bernhard&lt;/author&gt;&lt;author&gt;Ijmker, Janneke&lt;/author&gt;&lt;author&gt;Lehmkuhl, Frank&lt;/author&gt;&lt;author&gt;Opitz, Stephan&lt;/author&gt;&lt;author&gt;Stauch, Georg&lt;/author&gt;&lt;author&gt;Wünnemann, Bernd&lt;/author&gt;&lt;author&gt;Borchers, Andreas&lt;/author&gt;&lt;/authors&gt;&lt;/contributors&gt;&lt;titles&gt;&lt;title&gt;An end-member algorithm for deciphering modern detrital processes from lake sediments of Lake Donggi Cona, NE Tibetan Plateau, China&lt;/title&gt;&lt;secondary-title&gt;Sedimentary Geology&lt;/secondary-title&gt;&lt;/titles&gt;&lt;pages&gt;169-180&lt;/pages&gt;&lt;volume&gt;243–244&lt;/volume&gt;&lt;keywords&gt;&lt;keyword&gt;End-member modelling&lt;/keyword&gt;&lt;keyword&gt;Grain size distribution&lt;/keyword&gt;&lt;keyword&gt;Modern lake sediments&lt;/keyword&gt;&lt;keyword&gt;Tibetan Plateau&lt;/keyword&gt;&lt;/keywords&gt;&lt;dates&gt;&lt;year&gt;2012&lt;/year&gt;&lt;pub-dates&gt;&lt;date&gt;1/1/&lt;/date&gt;&lt;/pub-dates&gt;&lt;/dates&gt;&lt;isbn&gt;0037-0738&lt;/isbn&gt;&lt;urls&gt;&lt;related-urls&gt;&lt;url&gt;http://www.sciencedirect.com/science/article/pii/S003707381100265X&lt;/url&gt;&lt;/related-urls&gt;&lt;/urls&gt;&lt;electronic-resource-num&gt;http://dx.doi.org/10.1016/j.sedgeo.2011.09.014&lt;/electronic-resource-num&gt;&lt;/record&gt;&lt;/Cite&gt;&lt;/EndNote&gt;</w:instrText>
      </w:r>
      <w:r w:rsidR="00E010C7" w:rsidRPr="006E6D32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79291B" w:rsidRPr="0079291B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</w:t>
      </w:r>
      <w:r w:rsidR="00E010C7" w:rsidRPr="006E6D32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. The factor scores </w:t>
      </w:r>
      <w:proofErr w:type="spellStart"/>
      <w:r w:rsidRPr="006E6D32">
        <w:rPr>
          <w:rFonts w:ascii="Times New Roman" w:hAnsi="Times New Roman" w:cs="Times New Roman"/>
          <w:sz w:val="24"/>
          <w:szCs w:val="24"/>
          <w:lang w:val="en-GB"/>
        </w:rPr>
        <w:t>Qpi</w:t>
      </w:r>
      <w:proofErr w:type="spellEnd"/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in Eq. (1) represent regression weights and are obtained by minimizing the residuals between original data and predicted data,</w:t>
      </w:r>
    </w:p>
    <w:p w:rsidR="002E2448" w:rsidRPr="0099569B" w:rsidRDefault="002E2448" w:rsidP="002E2448">
      <w:pPr>
        <w:spacing w:line="480" w:lineRule="auto"/>
        <w:rPr>
          <w:szCs w:val="24"/>
          <w:lang w:val="en-GB"/>
        </w:rPr>
      </w:pPr>
      <w:r>
        <w:object w:dxaOrig="9360" w:dyaOrig="778">
          <v:shape id="_x0000_i1029" type="#_x0000_t75" style="width:469.2pt;height:39pt" o:ole="">
            <v:imagedata r:id="rId15" o:title=""/>
          </v:shape>
          <o:OLEObject Type="Embed" ProgID="Word.Document.12" ShapeID="_x0000_i1029" DrawAspect="Content" ObjectID="_1543901765" r:id="rId16">
            <o:FieldCodes>\s</o:FieldCodes>
          </o:OLEObject>
        </w:object>
      </w:r>
      <w:proofErr w:type="gramStart"/>
      <w:r w:rsidRPr="006E6D32">
        <w:rPr>
          <w:rFonts w:ascii="Times New Roman" w:hAnsi="Times New Roman" w:cs="Times New Roman"/>
          <w:sz w:val="24"/>
          <w:szCs w:val="24"/>
          <w:lang w:val="en-GB"/>
        </w:rPr>
        <w:t>under</w:t>
      </w:r>
      <w:proofErr w:type="gramEnd"/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the constraint that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GB"/>
              </w:rPr>
              <m:t>ip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GB"/>
          </w:rPr>
          <m:t>0</m:t>
        </m:r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>. The total correlation coefficient between observed data and predicted data is given by</w:t>
      </w:r>
    </w:p>
    <w:p w:rsidR="002E2448" w:rsidRPr="006E6D32" w:rsidRDefault="002E2448" w:rsidP="002E2448">
      <w:pPr>
        <w:spacing w:line="480" w:lineRule="auto"/>
        <w:rPr>
          <w:lang w:val="en-GB"/>
        </w:rPr>
      </w:pPr>
      <w:r>
        <w:object w:dxaOrig="9360" w:dyaOrig="533">
          <v:shape id="_x0000_i1030" type="#_x0000_t75" style="width:469.2pt;height:25.8pt" o:ole="">
            <v:imagedata r:id="rId17" o:title=""/>
          </v:shape>
          <o:OLEObject Type="Embed" ProgID="Word.Document.12" ShapeID="_x0000_i1030" DrawAspect="Content" ObjectID="_1543901766" r:id="rId18">
            <o:FieldCodes>\s</o:FieldCodes>
          </o:OLEObject>
        </w:object>
      </w:r>
      <w:r w:rsidRPr="006E6D32">
        <w:rPr>
          <w:lang w:val="en-GB"/>
        </w:rPr>
        <w:br/>
      </w:r>
      <w:proofErr w:type="gramStart"/>
      <w:r w:rsidRPr="006E6D32">
        <w:rPr>
          <w:rFonts w:ascii="Times New Roman" w:hAnsi="Times New Roman" w:cs="Times New Roman"/>
          <w:sz w:val="24"/>
          <w:szCs w:val="24"/>
          <w:lang w:val="en-GB"/>
        </w:rPr>
        <w:t>where</w:t>
      </w:r>
      <w:proofErr w:type="gramEnd"/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2</m:t>
            </m:r>
          </m:sup>
        </m:sSubSup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is the variable-wise correlation coefficient</w:t>
      </w:r>
    </w:p>
    <w:p w:rsidR="002E2448" w:rsidRPr="00BB24CE" w:rsidRDefault="002E2448" w:rsidP="002E2448">
      <w:pPr>
        <w:spacing w:line="480" w:lineRule="auto"/>
        <w:rPr>
          <w:lang w:val="en-GB"/>
        </w:rPr>
      </w:pPr>
      <w:r>
        <w:object w:dxaOrig="9360" w:dyaOrig="560">
          <v:shape id="_x0000_i1031" type="#_x0000_t75" style="width:469.2pt;height:27.6pt" o:ole="">
            <v:imagedata r:id="rId19" o:title=""/>
          </v:shape>
          <o:OLEObject Type="Embed" ProgID="Word.Document.12" ShapeID="_x0000_i1031" DrawAspect="Content" ObjectID="_1543901767" r:id="rId20">
            <o:FieldCodes>\s</o:FieldCodes>
          </o:OLEObject>
        </w:object>
      </w:r>
      <w:proofErr w:type="gramStart"/>
      <w:r w:rsidRPr="006E6D32"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jj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representing the diagonal matrix elements of the correlation matrix between the columns of matrix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>2</m:t>
            </m:r>
          </m:sup>
        </m:sSubSup>
      </m:oMath>
      <w:r w:rsidRPr="006E6D32">
        <w:rPr>
          <w:rFonts w:ascii="Times New Roman" w:hAnsi="Times New Roman" w:cs="Times New Roman"/>
          <w:sz w:val="24"/>
          <w:szCs w:val="24"/>
          <w:lang w:val="en-GB"/>
        </w:rPr>
        <w:t xml:space="preserve"> is the sample-wise correlation coefficient</w:t>
      </w:r>
    </w:p>
    <w:p w:rsidR="002E2448" w:rsidRDefault="002E2448" w:rsidP="002E2448">
      <w:pPr>
        <w:spacing w:line="480" w:lineRule="auto"/>
      </w:pPr>
      <w:r>
        <w:object w:dxaOrig="9360" w:dyaOrig="530">
          <v:shape id="_x0000_i1032" type="#_x0000_t75" style="width:469.2pt;height:25.2pt" o:ole="">
            <v:imagedata r:id="rId21" o:title=""/>
          </v:shape>
          <o:OLEObject Type="Embed" ProgID="Word.Document.12" ShapeID="_x0000_i1032" DrawAspect="Content" ObjectID="_1543901768" r:id="rId22">
            <o:FieldCodes>\s</o:FieldCodes>
          </o:OLEObject>
        </w:object>
      </w:r>
    </w:p>
    <w:p w:rsidR="002E2448" w:rsidRPr="00B51495" w:rsidRDefault="002E2448" w:rsidP="002E2448">
      <w:pPr>
        <w:spacing w:line="480" w:lineRule="auto"/>
        <w:rPr>
          <w:lang w:val="en-GB"/>
        </w:rPr>
      </w:pPr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We used the R-package </w:t>
      </w:r>
      <w:proofErr w:type="spellStart"/>
      <w:r w:rsidRPr="00B9155C">
        <w:rPr>
          <w:rFonts w:ascii="Times New Roman" w:hAnsi="Times New Roman" w:cs="Times New Roman"/>
          <w:sz w:val="24"/>
          <w:szCs w:val="24"/>
          <w:lang w:val="en-GB"/>
        </w:rPr>
        <w:t>EMMAgeo</w:t>
      </w:r>
      <w:proofErr w:type="spellEnd"/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10C7" w:rsidRPr="00B9155C">
        <w:rPr>
          <w:rFonts w:ascii="Times New Roman" w:hAnsi="Times New Roman" w:cs="Times New Roman"/>
          <w:sz w:val="24"/>
          <w:szCs w:val="24"/>
        </w:rPr>
        <w:fldChar w:fldCharType="begin"/>
      </w:r>
      <w:r w:rsidR="0079291B" w:rsidRPr="0079291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&lt;EndNote&gt;&lt;Cite&gt;&lt;Author&gt;Dietze&lt;/Author&gt;&lt;Year&gt;2013&lt;/Year&gt;&lt;RecNum&gt;154&lt;/RecNum&gt;&lt;DisplayText&gt;&lt;style face="superscript"&gt;2&lt;/style&gt;&lt;/DisplayText&gt;&lt;record&gt;&lt;rec-number&gt;154&lt;/rec-number&gt;&lt;foreign-keys&gt;&lt;key app="EN" db-id="w0t00e098avxpqefp295fpvba5reszsa0erx" timestamp="0"&gt;154&lt;/key&gt;&lt;/foreign-keys&gt;&lt;ref-type name="Conference Paper"&gt;47&lt;/ref-type&gt;&lt;contributors&gt;&lt;authors&gt;&lt;author&gt;Dietze, Michael&lt;/author&gt;&lt;author&gt;Dietze, Elisabeth&lt;/author&gt;&lt;/authors&gt;&lt;/contributors&gt;&lt;titles&gt;&lt;title&gt;A flexible open-source toolbox for robust end-member modelling analysis-The R-package EMMAgeo&lt;/title&gt;&lt;secondary-title&gt;EGU General Assembly Conference Abstracts&lt;/secondary-title&gt;&lt;/titles&gt;&lt;pages&gt;2779&lt;/pages&gt;&lt;volume&gt;15&lt;/volume&gt;&lt;dates&gt;&lt;year&gt;2013&lt;/year&gt;&lt;/dates&gt;&lt;urls&gt;&lt;/urls&gt;&lt;/record&gt;&lt;/Cite&gt;&lt;/EndNote&gt;</w:instrText>
      </w:r>
      <w:r w:rsidR="00E010C7" w:rsidRPr="00B9155C">
        <w:rPr>
          <w:rFonts w:ascii="Times New Roman" w:hAnsi="Times New Roman" w:cs="Times New Roman"/>
          <w:sz w:val="24"/>
          <w:szCs w:val="24"/>
        </w:rPr>
        <w:fldChar w:fldCharType="separate"/>
      </w:r>
      <w:r w:rsidR="0079291B" w:rsidRPr="0079291B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2</w:t>
      </w:r>
      <w:r w:rsidR="00E010C7" w:rsidRPr="00B9155C">
        <w:rPr>
          <w:rFonts w:ascii="Times New Roman" w:hAnsi="Times New Roman" w:cs="Times New Roman"/>
          <w:sz w:val="24"/>
          <w:szCs w:val="24"/>
        </w:rPr>
        <w:fldChar w:fldCharType="end"/>
      </w:r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 to obtain an estimate of robust end member (EM) factor loadings </w:t>
      </w:r>
      <w:proofErr w:type="spellStart"/>
      <w:r w:rsidRPr="00B9155C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Pr="00B9155C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p</w:t>
      </w:r>
      <w:proofErr w:type="spellEnd"/>
      <w:r w:rsidRPr="00B9155C">
        <w:rPr>
          <w:rFonts w:ascii="Times New Roman" w:hAnsi="Times New Roman" w:cs="Times New Roman"/>
          <w:sz w:val="24"/>
          <w:szCs w:val="24"/>
          <w:lang w:val="en-GB"/>
        </w:rPr>
        <w:t>. To obtain an independent estimate, we also performed end-member analysis using self-written code in Wolfram-</w:t>
      </w:r>
      <w:proofErr w:type="spellStart"/>
      <w:r w:rsidRPr="00B9155C">
        <w:rPr>
          <w:rFonts w:ascii="Times New Roman" w:hAnsi="Times New Roman" w:cs="Times New Roman"/>
          <w:sz w:val="24"/>
          <w:szCs w:val="24"/>
          <w:lang w:val="en-GB"/>
        </w:rPr>
        <w:t>Mathematica</w:t>
      </w:r>
      <w:proofErr w:type="spellEnd"/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. Either way, we find that </w:t>
      </w:r>
      <w:proofErr w:type="spellStart"/>
      <w:r w:rsidRPr="00B9155C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B9155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max</w:t>
      </w:r>
      <w:proofErr w:type="spellEnd"/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 = 4 end members representing five different modes (because of bimodality of one end member, see 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lastRenderedPageBreak/>
        <w:t>Fig</w:t>
      </w:r>
      <w:r w:rsidR="00B51495" w:rsidRPr="00B51495">
        <w:rPr>
          <w:rFonts w:ascii="Times New Roman" w:hAnsi="Times New Roman" w:cs="Times New Roman"/>
          <w:sz w:val="24"/>
          <w:szCs w:val="24"/>
          <w:lang w:val="en-GB"/>
        </w:rPr>
        <w:t>s 11d and 11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) are sufficient to obtain a total correlation coefficient </w:t>
      </w:r>
      <w:r w:rsidRPr="00B51495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B5149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 xml:space="preserve">2 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>between observed and predicted data of between 80% and 85%, depending on the details of the least-squares fitting.</w:t>
      </w:r>
    </w:p>
    <w:p w:rsidR="002E2448" w:rsidRPr="00614D71" w:rsidRDefault="002E2448" w:rsidP="00C2044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For each EM, the factor loadings have a predominant mode of Gaussian shape in </w:t>
      </w:r>
      <w:r w:rsidRPr="00B51495">
        <w:rPr>
          <w:rFonts w:ascii="Times New Roman" w:hAnsi="Times New Roman" w:cs="Times New Roman"/>
          <w:sz w:val="24"/>
          <w:szCs w:val="24"/>
        </w:rPr>
        <w:sym w:font="Symbol" w:char="F066"/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space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, corresponding to a lognormal shape in </w:t>
      </w:r>
      <w:r w:rsidRPr="00B51495">
        <w:rPr>
          <w:rFonts w:ascii="Times New Roman" w:hAnsi="Times New Roman" w:cs="Times New Roman"/>
          <w:sz w:val="24"/>
          <w:szCs w:val="24"/>
        </w:rPr>
        <w:sym w:font="Symbol" w:char="F06D"/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space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(Fig</w:t>
      </w:r>
      <w:r w:rsidR="00B51495" w:rsidRPr="00B51495">
        <w:rPr>
          <w:rFonts w:ascii="Times New Roman" w:hAnsi="Times New Roman" w:cs="Times New Roman"/>
          <w:sz w:val="24"/>
          <w:szCs w:val="24"/>
          <w:lang w:val="en-GB"/>
        </w:rPr>
        <w:t>s 11a and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1495" w:rsidRPr="00B51495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. Smaller side maxima overlap with the main modes of the factor loadings of other EMs. The only exception here is EM1 with main mode at about 7 </w:t>
      </w:r>
      <w:r w:rsidRPr="00B51495">
        <w:rPr>
          <w:rFonts w:ascii="Times New Roman" w:hAnsi="Times New Roman" w:cs="Times New Roman"/>
          <w:sz w:val="24"/>
          <w:szCs w:val="24"/>
        </w:rPr>
        <w:sym w:font="Symbol" w:char="F066"/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(7.9 </w:t>
      </w:r>
      <w:r w:rsidRPr="00B51495">
        <w:rPr>
          <w:rFonts w:ascii="Times New Roman" w:hAnsi="Times New Roman" w:cs="Times New Roman"/>
          <w:sz w:val="24"/>
          <w:szCs w:val="24"/>
        </w:rPr>
        <w:sym w:font="Symbol" w:char="F06D"/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m) and a second distinct mode at 12.2 </w:t>
      </w:r>
      <w:r w:rsidRPr="00B51495">
        <w:rPr>
          <w:rFonts w:ascii="Times New Roman" w:hAnsi="Times New Roman" w:cs="Times New Roman"/>
          <w:sz w:val="24"/>
          <w:szCs w:val="24"/>
        </w:rPr>
        <w:sym w:font="Symbol" w:char="F066"/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(0.2 </w:t>
      </w:r>
      <w:r w:rsidRPr="00B51495">
        <w:rPr>
          <w:rFonts w:ascii="Times New Roman" w:hAnsi="Times New Roman" w:cs="Times New Roman"/>
          <w:sz w:val="24"/>
          <w:szCs w:val="24"/>
        </w:rPr>
        <w:sym w:font="Symbol" w:char="F06D"/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m) which does not overlap with any other main mode. To characterize the dominant modes, we fitted a Gaussian distribution (with </w:t>
      </w:r>
      <w:r w:rsidRPr="00B51495">
        <w:rPr>
          <w:rFonts w:ascii="Times New Roman" w:hAnsi="Times New Roman" w:cs="Times New Roman"/>
          <w:sz w:val="24"/>
          <w:szCs w:val="24"/>
        </w:rPr>
        <w:sym w:font="Symbol" w:char="F066"/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as variable) to each major mode contained in the factor loadings (dashed lines in 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B51495"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11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). The results are summarized in 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51495" w:rsidRPr="00B51495">
        <w:rPr>
          <w:rFonts w:ascii="Times New Roman" w:hAnsi="Times New Roman" w:cs="Times New Roman"/>
          <w:sz w:val="24"/>
          <w:szCs w:val="24"/>
          <w:lang w:val="en-GB"/>
        </w:rPr>
        <w:t>11 Table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. It can be seen from 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51495" w:rsidRPr="00B51495">
        <w:rPr>
          <w:rFonts w:ascii="Times New Roman" w:hAnsi="Times New Roman" w:cs="Times New Roman"/>
          <w:sz w:val="24"/>
          <w:szCs w:val="24"/>
          <w:lang w:val="en-GB"/>
        </w:rPr>
        <w:t>11 Table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 xml:space="preserve">that EM4 accounts for less than 5% of the total variance in the linear mixing model. Even so, the punctuated presence of this coarse-grain sand component in the record (green line in 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B51495" w:rsidRPr="00B51495">
        <w:rPr>
          <w:rFonts w:ascii="Times New Roman" w:hAnsi="Times New Roman" w:cs="Times New Roman"/>
          <w:sz w:val="24"/>
          <w:szCs w:val="24"/>
          <w:lang w:val="en-GB"/>
        </w:rPr>
        <w:t>s 11</w:t>
      </w:r>
      <w:r w:rsidR="00C8381D" w:rsidRPr="00B51495">
        <w:rPr>
          <w:rFonts w:ascii="Times New Roman" w:hAnsi="Times New Roman" w:cs="Times New Roman"/>
          <w:sz w:val="24"/>
          <w:szCs w:val="24"/>
          <w:lang w:val="en-GB"/>
        </w:rPr>
        <w:t>a-c</w:t>
      </w:r>
      <w:r w:rsidRPr="00B51495">
        <w:rPr>
          <w:rFonts w:ascii="Times New Roman" w:hAnsi="Times New Roman" w:cs="Times New Roman"/>
          <w:sz w:val="24"/>
          <w:szCs w:val="24"/>
          <w:lang w:val="en-GB"/>
        </w:rPr>
        <w:t>) is</w:t>
      </w:r>
      <w:r w:rsidRPr="00B9155C">
        <w:rPr>
          <w:rFonts w:ascii="Times New Roman" w:hAnsi="Times New Roman" w:cs="Times New Roman"/>
          <w:sz w:val="24"/>
          <w:szCs w:val="24"/>
          <w:lang w:val="en-GB"/>
        </w:rPr>
        <w:t xml:space="preserve"> an important proxy of fluvial deposition and hence wet conditions in the basin.</w:t>
      </w:r>
    </w:p>
    <w:p w:rsidR="00256C5B" w:rsidRDefault="00256C5B" w:rsidP="002E244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2448" w:rsidRPr="00B51495" w:rsidRDefault="002E2448" w:rsidP="002E244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51495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79291B" w:rsidRPr="0079291B" w:rsidRDefault="00E010C7" w:rsidP="0079291B">
      <w:pPr>
        <w:pStyle w:val="EndNoteBibliography"/>
        <w:spacing w:after="0"/>
        <w:ind w:left="720" w:hanging="720"/>
      </w:pPr>
      <w:r w:rsidRPr="00046D7F">
        <w:rPr>
          <w:sz w:val="24"/>
          <w:szCs w:val="24"/>
          <w:lang w:val="en-GB"/>
        </w:rPr>
        <w:fldChar w:fldCharType="begin"/>
      </w:r>
      <w:r w:rsidR="002E2448" w:rsidRPr="00046D7F">
        <w:rPr>
          <w:sz w:val="24"/>
          <w:szCs w:val="24"/>
        </w:rPr>
        <w:instrText xml:space="preserve"> ADDIN EN.REFLIST </w:instrText>
      </w:r>
      <w:r w:rsidRPr="00046D7F">
        <w:rPr>
          <w:sz w:val="24"/>
          <w:szCs w:val="24"/>
          <w:lang w:val="en-GB"/>
        </w:rPr>
        <w:fldChar w:fldCharType="separate"/>
      </w:r>
      <w:r w:rsidR="0079291B" w:rsidRPr="0079291B">
        <w:t>1</w:t>
      </w:r>
      <w:r w:rsidR="0079291B" w:rsidRPr="0079291B">
        <w:tab/>
        <w:t>Dietze, E.</w:t>
      </w:r>
      <w:r w:rsidR="0079291B" w:rsidRPr="0079291B">
        <w:rPr>
          <w:i/>
        </w:rPr>
        <w:t xml:space="preserve"> et al.</w:t>
      </w:r>
      <w:r w:rsidR="0079291B" w:rsidRPr="0079291B">
        <w:t xml:space="preserve"> An end-member algorithm for deciphering modern detrital processes from lake sediments of Lake Donggi Cona, NE Tibetan Plateau, China. </w:t>
      </w:r>
      <w:r w:rsidR="0079291B" w:rsidRPr="0079291B">
        <w:rPr>
          <w:i/>
        </w:rPr>
        <w:t>Sedimentary Geology</w:t>
      </w:r>
      <w:r w:rsidR="0079291B" w:rsidRPr="0079291B">
        <w:t xml:space="preserve"> </w:t>
      </w:r>
      <w:r w:rsidR="0079291B" w:rsidRPr="0079291B">
        <w:rPr>
          <w:b/>
        </w:rPr>
        <w:t>243–244</w:t>
      </w:r>
      <w:r w:rsidR="0079291B" w:rsidRPr="0079291B">
        <w:t>, 169-180, doi:</w:t>
      </w:r>
      <w:hyperlink r:id="rId23" w:history="1">
        <w:r w:rsidR="0079291B" w:rsidRPr="0079291B">
          <w:rPr>
            <w:rStyle w:val="Hyperlink"/>
          </w:rPr>
          <w:t>http://dx.doi.org/10.1016/j.sedgeo.2011.09.014</w:t>
        </w:r>
      </w:hyperlink>
      <w:r w:rsidR="0079291B" w:rsidRPr="0079291B">
        <w:t xml:space="preserve"> (2012).</w:t>
      </w:r>
    </w:p>
    <w:p w:rsidR="0079291B" w:rsidRPr="0079291B" w:rsidRDefault="0079291B" w:rsidP="0079291B">
      <w:pPr>
        <w:pStyle w:val="EndNoteBibliography"/>
        <w:ind w:left="720" w:hanging="720"/>
      </w:pPr>
      <w:r w:rsidRPr="0079291B">
        <w:t>2</w:t>
      </w:r>
      <w:r w:rsidRPr="0079291B">
        <w:tab/>
        <w:t xml:space="preserve">Dietze, M. &amp; Dietze, E. in </w:t>
      </w:r>
      <w:r w:rsidRPr="0079291B">
        <w:rPr>
          <w:i/>
        </w:rPr>
        <w:t>EGU General Assembly Conference Abstracts</w:t>
      </w:r>
      <w:r w:rsidRPr="0079291B">
        <w:t xml:space="preserve"> Vol. 15   2779 (2013).</w:t>
      </w:r>
    </w:p>
    <w:p w:rsidR="0034126B" w:rsidRDefault="00E010C7" w:rsidP="002E2448">
      <w:r w:rsidRPr="00046D7F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34126B" w:rsidSect="00E86A7F">
      <w:footerReference w:type="default" r:id="rId24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E5" w:rsidRDefault="00FA6AE5" w:rsidP="00E86A7F">
      <w:pPr>
        <w:spacing w:after="0" w:line="240" w:lineRule="auto"/>
      </w:pPr>
      <w:r>
        <w:separator/>
      </w:r>
    </w:p>
  </w:endnote>
  <w:endnote w:type="continuationSeparator" w:id="0">
    <w:p w:rsidR="00FA6AE5" w:rsidRDefault="00FA6AE5" w:rsidP="00E8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082"/>
      <w:docPartObj>
        <w:docPartGallery w:val="Page Numbers (Bottom of Page)"/>
        <w:docPartUnique/>
      </w:docPartObj>
    </w:sdtPr>
    <w:sdtContent>
      <w:p w:rsidR="00E87919" w:rsidRDefault="00E010C7">
        <w:pPr>
          <w:pStyle w:val="Fuzeile"/>
          <w:jc w:val="center"/>
        </w:pPr>
        <w:fldSimple w:instr=" PAGE   \* MERGEFORMAT ">
          <w:r w:rsidR="00B51495">
            <w:rPr>
              <w:noProof/>
            </w:rPr>
            <w:t>1</w:t>
          </w:r>
        </w:fldSimple>
      </w:p>
    </w:sdtContent>
  </w:sdt>
  <w:p w:rsidR="00E87919" w:rsidRDefault="00E879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E5" w:rsidRDefault="00FA6AE5" w:rsidP="00E86A7F">
      <w:pPr>
        <w:spacing w:after="0" w:line="240" w:lineRule="auto"/>
      </w:pPr>
      <w:r>
        <w:separator/>
      </w:r>
    </w:p>
  </w:footnote>
  <w:footnote w:type="continuationSeparator" w:id="0">
    <w:p w:rsidR="00FA6AE5" w:rsidRDefault="00FA6AE5" w:rsidP="00E8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t00e098avxpqefp295fpvba5reszsa0erx&quot;&gt;References complete&lt;record-ids&gt;&lt;item&gt;153&lt;/item&gt;&lt;item&gt;154&lt;/item&gt;&lt;/record-ids&gt;&lt;/item&gt;&lt;/Libraries&gt;"/>
  </w:docVars>
  <w:rsids>
    <w:rsidRoot w:val="002E2448"/>
    <w:rsid w:val="00256AC6"/>
    <w:rsid w:val="00256C5B"/>
    <w:rsid w:val="00262C29"/>
    <w:rsid w:val="00297FCF"/>
    <w:rsid w:val="002E2448"/>
    <w:rsid w:val="0034126B"/>
    <w:rsid w:val="004333FC"/>
    <w:rsid w:val="005D408A"/>
    <w:rsid w:val="00672A9D"/>
    <w:rsid w:val="006F4065"/>
    <w:rsid w:val="0071234D"/>
    <w:rsid w:val="007406A4"/>
    <w:rsid w:val="0077642A"/>
    <w:rsid w:val="00783E0D"/>
    <w:rsid w:val="0079291B"/>
    <w:rsid w:val="00824B41"/>
    <w:rsid w:val="00B51495"/>
    <w:rsid w:val="00B763C0"/>
    <w:rsid w:val="00C20447"/>
    <w:rsid w:val="00C8381D"/>
    <w:rsid w:val="00C96B20"/>
    <w:rsid w:val="00CB44D5"/>
    <w:rsid w:val="00E010C7"/>
    <w:rsid w:val="00E86A7F"/>
    <w:rsid w:val="00E87919"/>
    <w:rsid w:val="00EB5295"/>
    <w:rsid w:val="00F2775E"/>
    <w:rsid w:val="00F27D8D"/>
    <w:rsid w:val="00F443A8"/>
    <w:rsid w:val="00FA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4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E24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448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2E2448"/>
    <w:pPr>
      <w:spacing w:after="0"/>
      <w:jc w:val="center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E2448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E2448"/>
    <w:pPr>
      <w:spacing w:line="240" w:lineRule="auto"/>
    </w:pPr>
    <w:rPr>
      <w:rFonts w:ascii="Times New Roman" w:hAnsi="Times New Roman" w:cs="Times New Roman"/>
      <w:noProof/>
      <w:sz w:val="20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E2448"/>
    <w:rPr>
      <w:rFonts w:ascii="Times New Roman" w:hAnsi="Times New Roman" w:cs="Times New Roman"/>
      <w:noProof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E2448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24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24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244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4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4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4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4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448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E244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448"/>
  </w:style>
  <w:style w:type="paragraph" w:styleId="Fuzeile">
    <w:name w:val="footer"/>
    <w:basedOn w:val="Standard"/>
    <w:link w:val="FuzeileZchn"/>
    <w:uiPriority w:val="99"/>
    <w:unhideWhenUsed/>
    <w:rsid w:val="002E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448"/>
  </w:style>
  <w:style w:type="paragraph" w:styleId="Listenabsatz">
    <w:name w:val="List Paragraph"/>
    <w:basedOn w:val="Standard"/>
    <w:uiPriority w:val="34"/>
    <w:qFormat/>
    <w:rsid w:val="002E24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lengitternetz">
    <w:name w:val="Table Grid"/>
    <w:basedOn w:val="NormaleTabelle"/>
    <w:uiPriority w:val="59"/>
    <w:rsid w:val="002E2448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edgement">
    <w:name w:val="Acknowledgement"/>
    <w:basedOn w:val="Standard"/>
    <w:rsid w:val="002E2448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-Dok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Word-Dokument6.doc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-Dokument3.doc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Office_Word-Dokument5.docx"/><Relationship Id="rId20" Type="http://schemas.openxmlformats.org/officeDocument/2006/relationships/package" Target="embeddings/Microsoft_Office_Word-Dokument7.doc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yperlink" Target="http://dx.doi.org/10.1016/j.sedgeo.2011.09.014" TargetMode="External"/><Relationship Id="rId10" Type="http://schemas.openxmlformats.org/officeDocument/2006/relationships/package" Target="embeddings/Microsoft_Office_Word-Dokument2.doc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Word-Dokument4.docx"/><Relationship Id="rId22" Type="http://schemas.openxmlformats.org/officeDocument/2006/relationships/package" Target="embeddings/Microsoft_Office_Word-Dokument8.docx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3A53C-6D09-4E44-96EA-DF17E5C4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</dc:creator>
  <cp:lastModifiedBy>madel</cp:lastModifiedBy>
  <cp:revision>5</cp:revision>
  <dcterms:created xsi:type="dcterms:W3CDTF">2016-12-13T11:29:00Z</dcterms:created>
  <dcterms:modified xsi:type="dcterms:W3CDTF">2016-12-22T07:49:00Z</dcterms:modified>
</cp:coreProperties>
</file>