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4E" w:rsidRPr="00BF554E" w:rsidRDefault="00537EE2" w:rsidP="00BF554E">
      <w:pPr>
        <w:spacing w:line="480" w:lineRule="auto"/>
        <w:rPr>
          <w:lang w:val="en-US"/>
        </w:rPr>
      </w:pPr>
      <w:r>
        <w:rPr>
          <w:rFonts w:cs="Arial"/>
          <w:b/>
          <w:shd w:val="clear" w:color="auto" w:fill="FFFFFF"/>
          <w:lang w:val="en-US"/>
        </w:rPr>
        <w:t>S8 Table</w:t>
      </w:r>
      <w:r w:rsidR="00BF554E">
        <w:rPr>
          <w:rFonts w:cs="Arial"/>
          <w:b/>
          <w:shd w:val="clear" w:color="auto" w:fill="FFFFFF"/>
          <w:lang w:val="en-US"/>
        </w:rPr>
        <w:t>.</w:t>
      </w:r>
      <w:r w:rsidR="00BF554E" w:rsidRPr="00AE20BC">
        <w:rPr>
          <w:rFonts w:cs="Arial"/>
          <w:b/>
          <w:shd w:val="clear" w:color="auto" w:fill="FFFFFF"/>
          <w:lang w:val="en-US"/>
        </w:rPr>
        <w:t xml:space="preserve"> Differences in miRNA expression between studies in human heart failure, mouse and rat heart failure models</w:t>
      </w:r>
    </w:p>
    <w:tbl>
      <w:tblPr>
        <w:tblW w:w="8379" w:type="dxa"/>
        <w:tblInd w:w="55" w:type="dxa"/>
        <w:tblCellMar>
          <w:left w:w="70" w:type="dxa"/>
          <w:right w:w="70" w:type="dxa"/>
        </w:tblCellMar>
        <w:tblLook w:val="04A0" w:firstRow="1" w:lastRow="0" w:firstColumn="1" w:lastColumn="0" w:noHBand="0" w:noVBand="1"/>
      </w:tblPr>
      <w:tblGrid>
        <w:gridCol w:w="1720"/>
        <w:gridCol w:w="1839"/>
        <w:gridCol w:w="1559"/>
        <w:gridCol w:w="2127"/>
        <w:gridCol w:w="1134"/>
      </w:tblGrid>
      <w:tr w:rsidR="00BF554E" w:rsidRPr="00035D8D" w:rsidTr="00FA22C9">
        <w:trPr>
          <w:trHeight w:val="430"/>
        </w:trPr>
        <w:tc>
          <w:tcPr>
            <w:tcW w:w="1720" w:type="dxa"/>
            <w:tcBorders>
              <w:top w:val="nil"/>
              <w:left w:val="nil"/>
              <w:bottom w:val="nil"/>
              <w:right w:val="nil"/>
            </w:tcBorders>
            <w:shd w:val="clear" w:color="auto" w:fill="auto"/>
            <w:noWrap/>
            <w:hideMark/>
          </w:tcPr>
          <w:p w:rsidR="00BF554E" w:rsidRPr="00BD37D0" w:rsidRDefault="00BF554E" w:rsidP="00FA22C9">
            <w:pPr>
              <w:spacing w:after="0" w:line="240" w:lineRule="auto"/>
              <w:rPr>
                <w:rFonts w:ascii="Calibri" w:eastAsia="Times New Roman" w:hAnsi="Calibri" w:cs="Times New Roman"/>
                <w:color w:val="000000"/>
                <w:lang w:val="en-US"/>
              </w:rPr>
            </w:pPr>
          </w:p>
        </w:tc>
        <w:tc>
          <w:tcPr>
            <w:tcW w:w="3398" w:type="dxa"/>
            <w:gridSpan w:val="2"/>
            <w:tcBorders>
              <w:top w:val="nil"/>
              <w:left w:val="nil"/>
            </w:tcBorders>
            <w:shd w:val="clear" w:color="auto" w:fill="auto"/>
            <w:noWrap/>
            <w:hideMark/>
          </w:tcPr>
          <w:p w:rsidR="00BF554E" w:rsidRPr="00537EE2" w:rsidRDefault="00BF554E" w:rsidP="00FA22C9">
            <w:pPr>
              <w:spacing w:after="0" w:line="240" w:lineRule="auto"/>
              <w:jc w:val="center"/>
              <w:rPr>
                <w:rFonts w:ascii="Calibri" w:eastAsia="Times New Roman" w:hAnsi="Calibri" w:cs="Times New Roman"/>
                <w:b/>
                <w:bCs/>
                <w:color w:val="000000"/>
                <w:lang w:val="en-US"/>
              </w:rPr>
            </w:pPr>
            <w:r w:rsidRPr="00537EE2">
              <w:rPr>
                <w:rFonts w:ascii="Calibri" w:eastAsia="Times New Roman" w:hAnsi="Calibri" w:cs="Times New Roman"/>
                <w:b/>
                <w:bCs/>
                <w:color w:val="000000"/>
                <w:lang w:val="en-US"/>
              </w:rPr>
              <w:t>Human heart failure</w:t>
            </w:r>
          </w:p>
        </w:tc>
        <w:tc>
          <w:tcPr>
            <w:tcW w:w="3261" w:type="dxa"/>
            <w:gridSpan w:val="2"/>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Rat or </w:t>
            </w:r>
            <w:r w:rsidRPr="00652B31">
              <w:rPr>
                <w:rFonts w:ascii="Calibri" w:eastAsia="Times New Roman" w:hAnsi="Calibri" w:cs="Times New Roman"/>
                <w:b/>
                <w:bCs/>
                <w:color w:val="000000"/>
                <w:lang w:val="en-US"/>
              </w:rPr>
              <w:t>mice</w:t>
            </w:r>
            <w:r w:rsidRPr="00EB6ED6">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heart failure</w:t>
            </w:r>
            <w:r w:rsidRPr="00EB6ED6">
              <w:rPr>
                <w:rFonts w:ascii="Calibri" w:eastAsia="Times New Roman" w:hAnsi="Calibri" w:cs="Times New Roman"/>
                <w:b/>
                <w:bCs/>
                <w:color w:val="000000"/>
                <w:lang w:val="en-US"/>
              </w:rPr>
              <w:t xml:space="preserve"> models</w:t>
            </w:r>
          </w:p>
        </w:tc>
      </w:tr>
      <w:tr w:rsidR="00BF554E" w:rsidRPr="00537EE2" w:rsidTr="00FA22C9">
        <w:trPr>
          <w:trHeight w:val="405"/>
        </w:trPr>
        <w:tc>
          <w:tcPr>
            <w:tcW w:w="1720" w:type="dxa"/>
            <w:tcBorders>
              <w:top w:val="nil"/>
              <w:left w:val="nil"/>
              <w:bottom w:val="double" w:sz="4" w:space="0" w:color="auto"/>
              <w:right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color w:val="000000"/>
                <w:lang w:val="en-US"/>
              </w:rPr>
            </w:pPr>
            <w:proofErr w:type="spellStart"/>
            <w:r w:rsidRPr="00065CEA">
              <w:rPr>
                <w:rFonts w:ascii="Calibri" w:eastAsia="Times New Roman" w:hAnsi="Calibri" w:cs="Times New Roman"/>
                <w:b/>
                <w:color w:val="000000"/>
                <w:lang w:val="en-US"/>
              </w:rPr>
              <w:t>miRNA</w:t>
            </w:r>
            <w:proofErr w:type="spellEnd"/>
          </w:p>
        </w:tc>
        <w:tc>
          <w:tcPr>
            <w:tcW w:w="1839" w:type="dxa"/>
            <w:tcBorders>
              <w:top w:val="nil"/>
              <w:left w:val="nil"/>
              <w:bottom w:val="double" w:sz="4" w:space="0" w:color="auto"/>
            </w:tcBorders>
            <w:shd w:val="clear" w:color="auto" w:fill="auto"/>
            <w:noWrap/>
            <w:hideMark/>
          </w:tcPr>
          <w:p w:rsidR="00BF554E" w:rsidRPr="00537EE2" w:rsidRDefault="00BF554E" w:rsidP="00FA22C9">
            <w:pPr>
              <w:spacing w:after="0" w:line="240" w:lineRule="auto"/>
              <w:jc w:val="center"/>
              <w:rPr>
                <w:rFonts w:ascii="Calibri" w:eastAsia="Times New Roman" w:hAnsi="Calibri" w:cs="Times New Roman"/>
                <w:bCs/>
                <w:color w:val="000000"/>
                <w:lang w:val="en-US"/>
              </w:rPr>
            </w:pPr>
            <w:r w:rsidRPr="00537EE2">
              <w:rPr>
                <w:rFonts w:ascii="Calibri" w:eastAsia="Times New Roman" w:hAnsi="Calibri" w:cs="Times New Roman"/>
                <w:bCs/>
                <w:color w:val="000000"/>
                <w:lang w:val="en-US"/>
              </w:rPr>
              <w:t>Heart tissue</w:t>
            </w:r>
          </w:p>
        </w:tc>
        <w:tc>
          <w:tcPr>
            <w:tcW w:w="1559" w:type="dxa"/>
            <w:tcBorders>
              <w:top w:val="nil"/>
              <w:bottom w:val="double" w:sz="4" w:space="0" w:color="auto"/>
            </w:tcBorders>
            <w:shd w:val="clear" w:color="auto" w:fill="auto"/>
            <w:noWrap/>
            <w:hideMark/>
          </w:tcPr>
          <w:p w:rsidR="00BF554E" w:rsidRPr="00537EE2" w:rsidRDefault="00BF554E" w:rsidP="00FA22C9">
            <w:pPr>
              <w:spacing w:after="0" w:line="240" w:lineRule="auto"/>
              <w:jc w:val="center"/>
              <w:rPr>
                <w:rFonts w:ascii="Calibri" w:eastAsia="Times New Roman" w:hAnsi="Calibri" w:cs="Times New Roman"/>
                <w:bCs/>
                <w:color w:val="000000"/>
                <w:lang w:val="en-US"/>
              </w:rPr>
            </w:pPr>
            <w:r w:rsidRPr="00537EE2">
              <w:rPr>
                <w:rFonts w:ascii="Calibri" w:eastAsia="Times New Roman" w:hAnsi="Calibri" w:cs="Times New Roman"/>
                <w:bCs/>
                <w:color w:val="000000"/>
                <w:lang w:val="en-US"/>
              </w:rPr>
              <w:t>Circulation</w:t>
            </w:r>
          </w:p>
        </w:tc>
        <w:tc>
          <w:tcPr>
            <w:tcW w:w="2127" w:type="dxa"/>
            <w:tcBorders>
              <w:top w:val="nil"/>
              <w:bottom w:val="double" w:sz="4" w:space="0" w:color="auto"/>
              <w:right w:val="nil"/>
            </w:tcBorders>
            <w:shd w:val="clear" w:color="auto" w:fill="auto"/>
            <w:noWrap/>
            <w:hideMark/>
          </w:tcPr>
          <w:p w:rsidR="00BF554E" w:rsidRPr="00537EE2" w:rsidRDefault="00BF554E" w:rsidP="00FA22C9">
            <w:pPr>
              <w:spacing w:after="0" w:line="240" w:lineRule="auto"/>
              <w:jc w:val="center"/>
              <w:rPr>
                <w:rFonts w:ascii="Calibri" w:eastAsia="Times New Roman" w:hAnsi="Calibri" w:cs="Times New Roman"/>
                <w:bCs/>
                <w:color w:val="000000"/>
                <w:lang w:val="en-US"/>
              </w:rPr>
            </w:pPr>
            <w:r w:rsidRPr="00537EE2">
              <w:rPr>
                <w:rFonts w:ascii="Calibri" w:eastAsia="Times New Roman" w:hAnsi="Calibri" w:cs="Times New Roman"/>
                <w:bCs/>
                <w:color w:val="000000"/>
                <w:lang w:val="en-US"/>
              </w:rPr>
              <w:t>Heart tissue/cells</w:t>
            </w:r>
          </w:p>
        </w:tc>
        <w:tc>
          <w:tcPr>
            <w:tcW w:w="1134" w:type="dxa"/>
            <w:tcBorders>
              <w:top w:val="nil"/>
              <w:left w:val="nil"/>
              <w:bottom w:val="double" w:sz="4" w:space="0" w:color="auto"/>
              <w:right w:val="nil"/>
            </w:tcBorders>
            <w:shd w:val="clear" w:color="auto" w:fill="auto"/>
            <w:noWrap/>
            <w:hideMark/>
          </w:tcPr>
          <w:p w:rsidR="00BF554E" w:rsidRPr="00537EE2" w:rsidRDefault="00BF554E" w:rsidP="00FA22C9">
            <w:pPr>
              <w:spacing w:after="0" w:line="240" w:lineRule="auto"/>
              <w:jc w:val="center"/>
              <w:rPr>
                <w:rFonts w:ascii="Calibri" w:eastAsia="Times New Roman" w:hAnsi="Calibri" w:cs="Times New Roman"/>
                <w:bCs/>
                <w:color w:val="000000"/>
                <w:lang w:val="en-US"/>
              </w:rPr>
            </w:pPr>
            <w:r w:rsidRPr="00537EE2">
              <w:rPr>
                <w:rFonts w:ascii="Calibri" w:eastAsia="Times New Roman" w:hAnsi="Calibri" w:cs="Times New Roman"/>
                <w:bCs/>
                <w:color w:val="000000"/>
                <w:lang w:val="en-US"/>
              </w:rPr>
              <w:t>Circulation</w:t>
            </w:r>
          </w:p>
        </w:tc>
      </w:tr>
      <w:tr w:rsidR="00BF554E" w:rsidRPr="00652B31" w:rsidTr="00FA22C9">
        <w:trPr>
          <w:trHeight w:val="836"/>
        </w:trPr>
        <w:tc>
          <w:tcPr>
            <w:tcW w:w="1720" w:type="dxa"/>
            <w:tcBorders>
              <w:top w:val="double" w:sz="4" w:space="0" w:color="auto"/>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lang w:val="en-US"/>
              </w:rPr>
              <w:br/>
            </w:r>
            <w:r w:rsidRPr="00652B31">
              <w:rPr>
                <w:rFonts w:ascii="Calibri" w:eastAsia="Times New Roman" w:hAnsi="Calibri" w:cs="Times New Roman"/>
                <w:b/>
                <w:bCs/>
                <w:color w:val="000000"/>
                <w:lang w:val="en-US"/>
              </w:rPr>
              <w:t>miR-18a-5p</w:t>
            </w:r>
          </w:p>
        </w:tc>
        <w:tc>
          <w:tcPr>
            <w:tcW w:w="1839" w:type="dxa"/>
            <w:tcBorders>
              <w:top w:val="double" w:sz="4" w:space="0" w:color="auto"/>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Pr>
                <w:rFonts w:ascii="Calibri" w:eastAsia="Times New Roman" w:hAnsi="Calibri" w:cs="Times New Roman"/>
                <w:b/>
                <w:color w:val="000000"/>
              </w:rPr>
              <w:br/>
            </w: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ADDIN RW.CITE{{765 vanAlmen,G.C. 2011}}</w:instrText>
            </w:r>
            <w:r>
              <w:rPr>
                <w:rFonts w:ascii="Calibri" w:eastAsia="Times New Roman" w:hAnsi="Calibri" w:cs="Times New Roman"/>
                <w:color w:val="000000"/>
              </w:rPr>
              <w:fldChar w:fldCharType="separate"/>
            </w:r>
            <w:r w:rsidRPr="00BF554E">
              <w:rPr>
                <w:rFonts w:ascii="Calibri" w:eastAsia="Times New Roman" w:hAnsi="Calibri" w:cs="Times New Roman"/>
                <w:color w:val="000000"/>
              </w:rPr>
              <w:t>[1]</w:t>
            </w:r>
            <w:r>
              <w:rPr>
                <w:rFonts w:ascii="Calibri" w:eastAsia="Times New Roman" w:hAnsi="Calibri" w:cs="Times New Roman"/>
                <w:color w:val="000000"/>
              </w:rPr>
              <w:fldChar w:fldCharType="end"/>
            </w:r>
          </w:p>
        </w:tc>
        <w:tc>
          <w:tcPr>
            <w:tcW w:w="1559" w:type="dxa"/>
            <w:tcBorders>
              <w:top w:val="double" w:sz="4" w:space="0" w:color="auto"/>
              <w:left w:val="nil"/>
              <w:bottom w:val="nil"/>
            </w:tcBorders>
            <w:shd w:val="clear" w:color="auto" w:fill="auto"/>
            <w:noWrap/>
            <w:hideMark/>
          </w:tcPr>
          <w:p w:rsidR="00BF554E" w:rsidRPr="00275ABD" w:rsidRDefault="00BF554E" w:rsidP="00FA22C9">
            <w:pPr>
              <w:spacing w:line="240" w:lineRule="auto"/>
              <w:jc w:val="center"/>
            </w:pPr>
            <w:r>
              <w:rPr>
                <w:rFonts w:ascii="Calibri" w:eastAsia="Times New Roman" w:hAnsi="Calibri" w:cs="Times New Roman"/>
                <w:b/>
                <w:color w:val="000000"/>
              </w:rPr>
              <w:br/>
            </w: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RW.CITE{{714 Ovchinnikova,E.S. 2016}}</w:instrText>
            </w:r>
            <w:r>
              <w:fldChar w:fldCharType="separate"/>
            </w:r>
            <w:r w:rsidRPr="00BF554E">
              <w:rPr>
                <w:rFonts w:ascii="Calibri" w:hAnsi="Calibri"/>
              </w:rPr>
              <w:t>[2]</w:t>
            </w:r>
            <w:r>
              <w:fldChar w:fldCharType="end"/>
            </w:r>
            <w:r>
              <w:t xml:space="preserve">, </w:t>
            </w: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RW.CITE{{750 Fang,L. 2015}}</w:instrText>
            </w:r>
            <w:r>
              <w:fldChar w:fldCharType="separate"/>
            </w:r>
            <w:r w:rsidRPr="00BF554E">
              <w:rPr>
                <w:rFonts w:ascii="Calibri" w:hAnsi="Calibri"/>
              </w:rPr>
              <w:t>[3]</w:t>
            </w:r>
            <w:r>
              <w:fldChar w:fldCharType="end"/>
            </w:r>
          </w:p>
        </w:tc>
        <w:tc>
          <w:tcPr>
            <w:tcW w:w="2127" w:type="dxa"/>
            <w:tcBorders>
              <w:top w:val="double" w:sz="4" w:space="0" w:color="auto"/>
              <w:bottom w:val="nil"/>
              <w:right w:val="nil"/>
            </w:tcBorders>
            <w:shd w:val="clear" w:color="auto" w:fill="auto"/>
          </w:tcPr>
          <w:p w:rsidR="00BF554E" w:rsidRPr="00652B31" w:rsidRDefault="00BF554E" w:rsidP="00FA22C9">
            <w:pPr>
              <w:spacing w:after="0" w:line="240" w:lineRule="auto"/>
              <w:jc w:val="center"/>
              <w:rPr>
                <w:rFonts w:ascii="Calibri" w:eastAsia="Times New Roman" w:hAnsi="Calibri" w:cs="Times New Roman"/>
                <w:color w:val="000000"/>
              </w:rPr>
            </w:pPr>
            <w:r>
              <w:rPr>
                <w:rFonts w:ascii="Calibri" w:eastAsia="Times New Roman" w:hAnsi="Calibri" w:cs="Times New Roman"/>
                <w:b/>
                <w:color w:val="000000"/>
              </w:rPr>
              <w:br/>
            </w: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ADDIN RW.CITE{{765 vanAlmen,G.C. 2011}}</w:instrText>
            </w:r>
            <w:r>
              <w:rPr>
                <w:rFonts w:ascii="Calibri" w:eastAsia="Times New Roman" w:hAnsi="Calibri" w:cs="Times New Roman"/>
                <w:color w:val="000000"/>
              </w:rPr>
              <w:fldChar w:fldCharType="separate"/>
            </w:r>
            <w:r w:rsidRPr="00BF554E">
              <w:rPr>
                <w:rFonts w:ascii="Calibri" w:eastAsia="Times New Roman" w:hAnsi="Calibri" w:cs="Times New Roman"/>
                <w:color w:val="000000"/>
              </w:rPr>
              <w:t>[1]</w:t>
            </w:r>
            <w:r>
              <w:rPr>
                <w:rFonts w:ascii="Calibri" w:eastAsia="Times New Roman" w:hAnsi="Calibri" w:cs="Times New Roman"/>
                <w:color w:val="000000"/>
              </w:rPr>
              <w:fldChar w:fldCharType="end"/>
            </w:r>
          </w:p>
        </w:tc>
        <w:tc>
          <w:tcPr>
            <w:tcW w:w="1134" w:type="dxa"/>
            <w:tcBorders>
              <w:top w:val="double" w:sz="4" w:space="0" w:color="auto"/>
              <w:left w:val="nil"/>
              <w:bottom w:val="nil"/>
              <w:right w:val="nil"/>
            </w:tcBorders>
            <w:shd w:val="clear" w:color="auto" w:fill="auto"/>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521"/>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lang w:val="en-US"/>
              </w:rPr>
              <w:t>miR-26b-5p</w:t>
            </w:r>
          </w:p>
        </w:tc>
        <w:tc>
          <w:tcPr>
            <w:tcW w:w="1839"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bottom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RW.CITE{{714 Ovchinnikova,E.S. 2016}}</w:instrText>
            </w:r>
            <w:r>
              <w:fldChar w:fldCharType="separate"/>
            </w:r>
            <w:r w:rsidRPr="00BF554E">
              <w:rPr>
                <w:rFonts w:ascii="Calibri" w:hAnsi="Calibri"/>
              </w:rPr>
              <w:t>[2]</w:t>
            </w:r>
            <w:r>
              <w:fldChar w:fldCharType="end"/>
            </w:r>
          </w:p>
        </w:tc>
        <w:tc>
          <w:tcPr>
            <w:tcW w:w="2127" w:type="dxa"/>
            <w:tcBorders>
              <w:top w:val="nil"/>
              <w:bottom w:val="nil"/>
              <w:right w:val="nil"/>
            </w:tcBorders>
            <w:shd w:val="clear" w:color="auto" w:fill="auto"/>
            <w:noWrap/>
            <w:hideMark/>
          </w:tcPr>
          <w:p w:rsidR="00BF554E" w:rsidRPr="00652B31" w:rsidRDefault="00BF554E" w:rsidP="00FA22C9">
            <w:pPr>
              <w:spacing w:line="240" w:lineRule="auto"/>
              <w:jc w:val="center"/>
              <w:rPr>
                <w:rFonts w:ascii="Calibri" w:eastAsia="Times New Roman" w:hAnsi="Calibri" w:cs="Times New Roman"/>
                <w:color w:val="000000"/>
              </w:rPr>
            </w:pP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RW.CITE{{755 Martinelli,N.C. 2014; 769 Han,M. 2012}}</w:instrText>
            </w:r>
            <w:r>
              <w:fldChar w:fldCharType="separate"/>
            </w:r>
            <w:r w:rsidRPr="00BF554E">
              <w:rPr>
                <w:rFonts w:ascii="Calibri" w:hAnsi="Calibri"/>
              </w:rPr>
              <w:t>[4,5]</w:t>
            </w:r>
            <w:r>
              <w:fldChar w:fldCharType="end"/>
            </w:r>
          </w:p>
        </w:tc>
        <w:tc>
          <w:tcPr>
            <w:tcW w:w="1134" w:type="dxa"/>
            <w:tcBorders>
              <w:top w:val="nil"/>
              <w:left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557"/>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lang w:val="en-US"/>
              </w:rPr>
              <w:t>miR-423-3p</w:t>
            </w:r>
          </w:p>
        </w:tc>
        <w:tc>
          <w:tcPr>
            <w:tcW w:w="1839"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bottom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CE0224">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RW.CITE{{747 Seronde,M.F. 2015; 714 Ovchinnikova,E.S. 2016}}</w:instrText>
            </w:r>
            <w:r>
              <w:fldChar w:fldCharType="separate"/>
            </w:r>
            <w:r w:rsidRPr="00BF554E">
              <w:rPr>
                <w:rFonts w:ascii="Calibri" w:hAnsi="Calibri"/>
              </w:rPr>
              <w:t>[2,6]</w:t>
            </w:r>
            <w:r>
              <w:fldChar w:fldCharType="end"/>
            </w:r>
          </w:p>
        </w:tc>
        <w:tc>
          <w:tcPr>
            <w:tcW w:w="2127"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134" w:type="dxa"/>
            <w:tcBorders>
              <w:top w:val="nil"/>
              <w:left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562"/>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miR-223-3p</w:t>
            </w:r>
          </w:p>
        </w:tc>
        <w:tc>
          <w:tcPr>
            <w:tcW w:w="1839"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bottom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RW.CITE{{714 Ovchinnikova,E.S. 2016}}</w:instrText>
            </w:r>
            <w:r>
              <w:fldChar w:fldCharType="separate"/>
            </w:r>
            <w:r w:rsidRPr="00BF554E">
              <w:rPr>
                <w:rFonts w:ascii="Calibri" w:hAnsi="Calibri"/>
              </w:rPr>
              <w:t>[2]</w:t>
            </w:r>
            <w:r>
              <w:fldChar w:fldCharType="end"/>
            </w:r>
          </w:p>
        </w:tc>
        <w:tc>
          <w:tcPr>
            <w:tcW w:w="2127" w:type="dxa"/>
            <w:tcBorders>
              <w:top w:val="nil"/>
              <w:bottom w:val="nil"/>
              <w:right w:val="nil"/>
            </w:tcBorders>
            <w:shd w:val="clear" w:color="auto" w:fill="auto"/>
            <w:noWrap/>
            <w:hideMark/>
          </w:tcPr>
          <w:p w:rsidR="00BF554E" w:rsidRPr="00CE0224" w:rsidRDefault="00BF554E" w:rsidP="00FA22C9">
            <w:pPr>
              <w:spacing w:line="240" w:lineRule="auto"/>
              <w:jc w:val="center"/>
              <w:rPr>
                <w:lang w:val="en-US"/>
              </w:rPr>
            </w:pPr>
            <w:r w:rsidRPr="00CE0224">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RW.CITE{{751 Qin,D. 2016}}</w:instrText>
            </w:r>
            <w:r>
              <w:rPr>
                <w:lang w:val="en-US"/>
              </w:rPr>
              <w:fldChar w:fldCharType="separate"/>
            </w:r>
            <w:r w:rsidRPr="00BF554E">
              <w:rPr>
                <w:rFonts w:ascii="Calibri" w:hAnsi="Calibri"/>
                <w:lang w:val="en-US"/>
              </w:rPr>
              <w:t>[7]</w:t>
            </w:r>
            <w:r>
              <w:rPr>
                <w:lang w:val="en-US"/>
              </w:rPr>
              <w:fldChar w:fldCharType="end"/>
            </w:r>
            <w:r>
              <w:rPr>
                <w:lang w:val="en-US"/>
              </w:rPr>
              <w:t>,</w:t>
            </w:r>
            <w:r>
              <w:rPr>
                <w:rFonts w:ascii="Calibri" w:eastAsia="Times New Roman" w:hAnsi="Calibri" w:cs="Times New Roman"/>
                <w:color w:val="000000"/>
              </w:rPr>
              <w:t xml:space="preserve"> </w:t>
            </w:r>
            <w:r w:rsidRPr="00CE0224">
              <w:rPr>
                <w:rFonts w:ascii="Calibri" w:eastAsia="Times New Roman" w:hAnsi="Calibri" w:cs="Times New Roman"/>
                <w:b/>
                <w:color w:val="000000"/>
              </w:rPr>
              <w:t>↓</w:t>
            </w:r>
            <w:r>
              <w:rPr>
                <w:lang w:val="en-US"/>
              </w:rPr>
              <w:t xml:space="preserve"> </w:t>
            </w:r>
            <w:r>
              <w:rPr>
                <w:lang w:val="en-US"/>
              </w:rPr>
              <w:fldChar w:fldCharType="begin"/>
            </w:r>
            <w:r>
              <w:rPr>
                <w:lang w:val="en-US"/>
              </w:rPr>
              <w:instrText>ADDIN RW.CITE{{766 Wang,Y.S. 2015; 756 Shi,L. 2016}}</w:instrText>
            </w:r>
            <w:r>
              <w:rPr>
                <w:lang w:val="en-US"/>
              </w:rPr>
              <w:fldChar w:fldCharType="separate"/>
            </w:r>
            <w:r w:rsidRPr="00BF554E">
              <w:rPr>
                <w:rFonts w:ascii="Calibri" w:hAnsi="Calibri"/>
                <w:lang w:val="en-US"/>
              </w:rPr>
              <w:t>[8,9]</w:t>
            </w:r>
            <w:r>
              <w:rPr>
                <w:lang w:val="en-US"/>
              </w:rPr>
              <w:fldChar w:fldCharType="end"/>
            </w:r>
          </w:p>
        </w:tc>
        <w:tc>
          <w:tcPr>
            <w:tcW w:w="1134" w:type="dxa"/>
            <w:tcBorders>
              <w:top w:val="nil"/>
              <w:left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CE0224">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RW.CITE{{686 Dickinson,B.A. 2013}}</w:instrText>
            </w:r>
            <w:r>
              <w:rPr>
                <w:lang w:val="en-US"/>
              </w:rPr>
              <w:fldChar w:fldCharType="separate"/>
            </w:r>
            <w:r w:rsidRPr="00BF554E">
              <w:rPr>
                <w:rFonts w:ascii="Calibri" w:hAnsi="Calibri"/>
                <w:lang w:val="en-US"/>
              </w:rPr>
              <w:t>[10]</w:t>
            </w:r>
            <w:r>
              <w:rPr>
                <w:lang w:val="en-US"/>
              </w:rPr>
              <w:fldChar w:fldCharType="end"/>
            </w:r>
          </w:p>
        </w:tc>
      </w:tr>
      <w:tr w:rsidR="00BF554E" w:rsidRPr="00652B31" w:rsidTr="00FA22C9">
        <w:trPr>
          <w:trHeight w:val="570"/>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miR-199a-3p</w:t>
            </w:r>
          </w:p>
        </w:tc>
        <w:tc>
          <w:tcPr>
            <w:tcW w:w="1839" w:type="dxa"/>
            <w:tcBorders>
              <w:top w:val="nil"/>
              <w:bottom w:val="nil"/>
              <w:right w:val="nil"/>
            </w:tcBorders>
            <w:shd w:val="clear" w:color="auto" w:fill="auto"/>
            <w:noWrap/>
            <w:hideMark/>
          </w:tcPr>
          <w:p w:rsidR="00BF554E" w:rsidRPr="00EA4AE9"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ADDIN RW.CITE{{758 vanRooij,E. 2006; 759 elAzzouzi,H. 2013; 685 Li,J. 2014}}</w:instrText>
            </w:r>
            <w:r>
              <w:rPr>
                <w:rFonts w:ascii="Calibri" w:eastAsia="Times New Roman" w:hAnsi="Calibri" w:cs="Times New Roman"/>
                <w:color w:val="000000"/>
              </w:rPr>
              <w:fldChar w:fldCharType="separate"/>
            </w:r>
            <w:r w:rsidRPr="00BF554E">
              <w:rPr>
                <w:rFonts w:ascii="Calibri" w:eastAsia="Times New Roman" w:hAnsi="Calibri" w:cs="Times New Roman"/>
                <w:color w:val="000000"/>
              </w:rPr>
              <w:t>[11-13]</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RW.CITE{{760 Baumgarten,A. 2013}}</w:instrText>
            </w:r>
            <w:r>
              <w:rPr>
                <w:lang w:val="en-US"/>
              </w:rPr>
              <w:fldChar w:fldCharType="separate"/>
            </w:r>
            <w:r w:rsidRPr="00BF554E">
              <w:rPr>
                <w:rFonts w:ascii="Calibri" w:hAnsi="Calibri"/>
                <w:lang w:val="en-US"/>
              </w:rPr>
              <w:t>[14]</w:t>
            </w:r>
            <w:r>
              <w:rPr>
                <w:lang w:val="en-US"/>
              </w:rPr>
              <w:fldChar w:fldCharType="end"/>
            </w:r>
          </w:p>
        </w:tc>
        <w:tc>
          <w:tcPr>
            <w:tcW w:w="1559" w:type="dxa"/>
            <w:tcBorders>
              <w:top w:val="nil"/>
              <w:left w:val="nil"/>
              <w:bottom w:val="nil"/>
            </w:tcBorders>
            <w:shd w:val="clear" w:color="auto" w:fill="auto"/>
            <w:noWrap/>
            <w:hideMark/>
          </w:tcPr>
          <w:p w:rsidR="00BF554E" w:rsidRPr="00EA4AE9" w:rsidRDefault="00BF554E" w:rsidP="00FA22C9">
            <w:pPr>
              <w:spacing w:line="240" w:lineRule="auto"/>
              <w:jc w:val="center"/>
              <w:rPr>
                <w:lang w:val="en-US"/>
              </w:rPr>
            </w:pPr>
            <w:r w:rsidRPr="00275ABD">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RW.CITE{{714 Ovchinnikova,E.S. 2016; 254 Ellis,K.L. 2013}}</w:instrText>
            </w:r>
            <w:r>
              <w:fldChar w:fldCharType="separate"/>
            </w:r>
            <w:r w:rsidRPr="00BF554E">
              <w:rPr>
                <w:rFonts w:ascii="Calibri" w:hAnsi="Calibri"/>
              </w:rPr>
              <w:t>[2,15]</w:t>
            </w:r>
            <w:r>
              <w:fldChar w:fldCharType="end"/>
            </w:r>
          </w:p>
        </w:tc>
        <w:tc>
          <w:tcPr>
            <w:tcW w:w="2127" w:type="dxa"/>
            <w:tcBorders>
              <w:top w:val="nil"/>
              <w:bottom w:val="nil"/>
              <w:right w:val="nil"/>
            </w:tcBorders>
            <w:shd w:val="clear" w:color="auto" w:fill="auto"/>
            <w:noWrap/>
            <w:hideMark/>
          </w:tcPr>
          <w:p w:rsidR="00BF554E" w:rsidRPr="006E296A" w:rsidRDefault="00BF554E" w:rsidP="00FA22C9">
            <w:pPr>
              <w:spacing w:line="240" w:lineRule="auto"/>
              <w:jc w:val="cente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sidRPr="006E296A">
              <w:instrText>ADDIN RW.CITE{{758 vanRooij,E. 2006; 759 elAzzouzi,H. 2013; 685 Li,J. 2014; 762 Song,X.W. 2010}}</w:instrText>
            </w:r>
            <w:r>
              <w:rPr>
                <w:lang w:val="en-US"/>
              </w:rPr>
              <w:fldChar w:fldCharType="separate"/>
            </w:r>
            <w:r w:rsidRPr="00BF554E">
              <w:rPr>
                <w:rFonts w:ascii="Calibri" w:hAnsi="Calibri"/>
              </w:rPr>
              <w:t>[11-13,16]</w:t>
            </w:r>
            <w:r>
              <w:rPr>
                <w:lang w:val="en-US"/>
              </w:rPr>
              <w:fldChar w:fldCharType="end"/>
            </w:r>
          </w:p>
        </w:tc>
        <w:tc>
          <w:tcPr>
            <w:tcW w:w="1134" w:type="dxa"/>
            <w:tcBorders>
              <w:top w:val="nil"/>
              <w:left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578"/>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miR-27a-3p</w:t>
            </w:r>
          </w:p>
        </w:tc>
        <w:tc>
          <w:tcPr>
            <w:tcW w:w="1839"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bottom w:val="nil"/>
            </w:tcBorders>
            <w:shd w:val="clear" w:color="auto" w:fill="auto"/>
            <w:noWrap/>
            <w:hideMark/>
          </w:tcPr>
          <w:p w:rsidR="00BF554E" w:rsidRPr="006E296A"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rPr>
                <w:lang w:val="en-US"/>
              </w:rPr>
              <w:instrText>ADDIN RW.CITE{{714 Ovchinnikova,E.S. 2016; 752 Marques,F.Z. 2016}}</w:instrText>
            </w:r>
            <w:r>
              <w:fldChar w:fldCharType="separate"/>
            </w:r>
            <w:r w:rsidRPr="00BF554E">
              <w:rPr>
                <w:rFonts w:ascii="Calibri" w:hAnsi="Calibri"/>
                <w:lang w:val="en-US"/>
              </w:rPr>
              <w:t>[2,17]</w:t>
            </w:r>
            <w:r>
              <w:fldChar w:fldCharType="end"/>
            </w:r>
          </w:p>
        </w:tc>
        <w:tc>
          <w:tcPr>
            <w:tcW w:w="2127" w:type="dxa"/>
            <w:tcBorders>
              <w:top w:val="nil"/>
              <w:bottom w:val="nil"/>
              <w:right w:val="nil"/>
            </w:tcBorders>
            <w:shd w:val="clear" w:color="auto" w:fill="auto"/>
            <w:noWrap/>
            <w:hideMark/>
          </w:tcPr>
          <w:p w:rsidR="00BF554E" w:rsidRPr="00652B31" w:rsidRDefault="00BF554E" w:rsidP="00FA22C9">
            <w:pPr>
              <w:spacing w:line="240" w:lineRule="auto"/>
              <w:jc w:val="center"/>
              <w:rPr>
                <w:rFonts w:ascii="Calibri" w:eastAsia="Times New Roman" w:hAnsi="Calibri" w:cs="Times New Roman"/>
                <w:color w:val="000000"/>
              </w:rPr>
            </w:pPr>
            <w:r w:rsidRPr="006E296A">
              <w:rPr>
                <w:rFonts w:ascii="Calibri" w:eastAsia="Times New Roman" w:hAnsi="Calibri" w:cs="Times New Roman"/>
                <w:b/>
                <w:color w:val="000000"/>
              </w:rPr>
              <w:t>↓</w:t>
            </w:r>
            <w:r>
              <w:rPr>
                <w:rFonts w:ascii="Calibri" w:eastAsia="Times New Roman" w:hAnsi="Calibri" w:cs="Times New Roman"/>
                <w:b/>
                <w:color w:val="000000"/>
              </w:rPr>
              <w:t xml:space="preserve"> </w:t>
            </w:r>
            <w:r>
              <w:rPr>
                <w:lang w:val="en-US"/>
              </w:rPr>
              <w:fldChar w:fldCharType="begin"/>
            </w:r>
            <w:r>
              <w:rPr>
                <w:lang w:val="en-US"/>
              </w:rPr>
              <w:instrText>ADDIN RW.CITE{{755 Martinelli,N.C. 2014}}</w:instrText>
            </w:r>
            <w:r>
              <w:rPr>
                <w:lang w:val="en-US"/>
              </w:rPr>
              <w:fldChar w:fldCharType="separate"/>
            </w:r>
            <w:r w:rsidRPr="00BF554E">
              <w:rPr>
                <w:rFonts w:ascii="Calibri" w:hAnsi="Calibri"/>
                <w:lang w:val="en-US"/>
              </w:rPr>
              <w:t>[4]</w:t>
            </w:r>
            <w:r>
              <w:rPr>
                <w:lang w:val="en-US"/>
              </w:rPr>
              <w:fldChar w:fldCharType="end"/>
            </w:r>
            <w:r>
              <w:rPr>
                <w:lang w:val="en-US"/>
              </w:rPr>
              <w:t xml:space="preserve">, </w:t>
            </w:r>
            <w:r>
              <w:rPr>
                <w:rFonts w:ascii="Calibri" w:eastAsia="Times New Roman" w:hAnsi="Calibri" w:cs="Times New Roman"/>
                <w:color w:val="000000"/>
              </w:rPr>
              <w:t xml:space="preserve"> </w:t>
            </w: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RW.CITE{{767 Nishi,H. 2011}}</w:instrText>
            </w:r>
            <w:r>
              <w:rPr>
                <w:lang w:val="en-US"/>
              </w:rPr>
              <w:fldChar w:fldCharType="separate"/>
            </w:r>
            <w:r w:rsidRPr="00BF554E">
              <w:rPr>
                <w:rFonts w:ascii="Calibri" w:hAnsi="Calibri"/>
                <w:lang w:val="en-US"/>
              </w:rPr>
              <w:t>[18]</w:t>
            </w:r>
            <w:r>
              <w:rPr>
                <w:lang w:val="en-US"/>
              </w:rPr>
              <w:fldChar w:fldCharType="end"/>
            </w:r>
          </w:p>
        </w:tc>
        <w:tc>
          <w:tcPr>
            <w:tcW w:w="1134" w:type="dxa"/>
            <w:tcBorders>
              <w:top w:val="nil"/>
              <w:left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558"/>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miR-652-3p</w:t>
            </w:r>
          </w:p>
        </w:tc>
        <w:tc>
          <w:tcPr>
            <w:tcW w:w="1839"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bottom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RW.CITE{{714 Ovchinnikova,E.S. 2016}}</w:instrText>
            </w:r>
            <w:r>
              <w:fldChar w:fldCharType="separate"/>
            </w:r>
            <w:r w:rsidRPr="00BF554E">
              <w:rPr>
                <w:rFonts w:ascii="Calibri" w:hAnsi="Calibri"/>
              </w:rPr>
              <w:t>[2]</w:t>
            </w:r>
            <w:r>
              <w:fldChar w:fldCharType="end"/>
            </w:r>
          </w:p>
        </w:tc>
        <w:tc>
          <w:tcPr>
            <w:tcW w:w="2127" w:type="dxa"/>
            <w:tcBorders>
              <w:top w:val="nil"/>
              <w:bottom w:val="nil"/>
              <w:right w:val="nil"/>
            </w:tcBorders>
            <w:shd w:val="clear" w:color="auto" w:fill="auto"/>
            <w:noWrap/>
            <w:hideMark/>
          </w:tcPr>
          <w:p w:rsidR="00BF554E" w:rsidRPr="006E296A"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RW.CITE{{323 Bernardo,B.C. 2014}}</w:instrText>
            </w:r>
            <w:r>
              <w:rPr>
                <w:lang w:val="en-US"/>
              </w:rPr>
              <w:fldChar w:fldCharType="separate"/>
            </w:r>
            <w:r w:rsidRPr="00BF554E">
              <w:rPr>
                <w:rFonts w:ascii="Calibri" w:hAnsi="Calibri"/>
                <w:lang w:val="en-US"/>
              </w:rPr>
              <w:t>[19]</w:t>
            </w:r>
            <w:r>
              <w:rPr>
                <w:lang w:val="en-US"/>
              </w:rPr>
              <w:fldChar w:fldCharType="end"/>
            </w:r>
          </w:p>
        </w:tc>
        <w:tc>
          <w:tcPr>
            <w:tcW w:w="1134" w:type="dxa"/>
            <w:tcBorders>
              <w:top w:val="nil"/>
              <w:left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566"/>
        </w:trPr>
        <w:tc>
          <w:tcPr>
            <w:tcW w:w="1720" w:type="dxa"/>
            <w:tcBorders>
              <w:top w:val="nil"/>
              <w:left w:val="nil"/>
              <w:bottom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miR-16-5p</w:t>
            </w:r>
          </w:p>
        </w:tc>
        <w:tc>
          <w:tcPr>
            <w:tcW w:w="1839" w:type="dxa"/>
            <w:tcBorders>
              <w:top w:val="nil"/>
              <w:bottom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bottom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rPr>
                <w:lang w:val="en-US"/>
              </w:rPr>
              <w:instrText>ADDIN RW.CITE{{714 Ovchinnikova,E.S. 2016; 752 Marques,F.Z. 2016}}</w:instrText>
            </w:r>
            <w:r>
              <w:fldChar w:fldCharType="separate"/>
            </w:r>
            <w:r w:rsidRPr="00BF554E">
              <w:rPr>
                <w:rFonts w:ascii="Calibri" w:hAnsi="Calibri"/>
                <w:lang w:val="en-US"/>
              </w:rPr>
              <w:t>[2,17]</w:t>
            </w:r>
            <w:r>
              <w:fldChar w:fldCharType="end"/>
            </w:r>
          </w:p>
        </w:tc>
        <w:tc>
          <w:tcPr>
            <w:tcW w:w="2127" w:type="dxa"/>
            <w:tcBorders>
              <w:top w:val="nil"/>
              <w:bottom w:val="nil"/>
              <w:right w:val="nil"/>
            </w:tcBorders>
            <w:shd w:val="clear" w:color="auto" w:fill="auto"/>
            <w:noWrap/>
            <w:hideMark/>
          </w:tcPr>
          <w:p w:rsidR="00BF554E" w:rsidRPr="00EA4AE9"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RW.CITE{{754 Wang,X. 2015; 763 Huang,S. 2015}}</w:instrText>
            </w:r>
            <w:r>
              <w:rPr>
                <w:lang w:val="en-US"/>
              </w:rPr>
              <w:fldChar w:fldCharType="separate"/>
            </w:r>
            <w:r w:rsidRPr="00BF554E">
              <w:rPr>
                <w:rFonts w:ascii="Calibri" w:hAnsi="Calibri"/>
                <w:lang w:val="en-US"/>
              </w:rPr>
              <w:t>[20,21]</w:t>
            </w:r>
            <w:r>
              <w:rPr>
                <w:lang w:val="en-US"/>
              </w:rPr>
              <w:fldChar w:fldCharType="end"/>
            </w:r>
          </w:p>
        </w:tc>
        <w:tc>
          <w:tcPr>
            <w:tcW w:w="1134" w:type="dxa"/>
            <w:tcBorders>
              <w:top w:val="nil"/>
              <w:left w:val="nil"/>
              <w:bottom w:val="nil"/>
              <w:right w:val="nil"/>
            </w:tcBorders>
            <w:shd w:val="clear" w:color="auto" w:fill="auto"/>
            <w:noWrap/>
            <w:hideMark/>
          </w:tcPr>
          <w:p w:rsidR="00BF554E" w:rsidRPr="00EA4AE9"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RW.CITE{{686 Dickinson,B.A. 2013}}</w:instrText>
            </w:r>
            <w:r>
              <w:rPr>
                <w:lang w:val="en-US"/>
              </w:rPr>
              <w:fldChar w:fldCharType="separate"/>
            </w:r>
            <w:r w:rsidRPr="00BF554E">
              <w:rPr>
                <w:rFonts w:ascii="Calibri" w:hAnsi="Calibri"/>
                <w:lang w:val="en-US"/>
              </w:rPr>
              <w:t>[10]</w:t>
            </w:r>
            <w:r>
              <w:rPr>
                <w:lang w:val="en-US"/>
              </w:rPr>
              <w:fldChar w:fldCharType="end"/>
            </w:r>
          </w:p>
        </w:tc>
      </w:tr>
      <w:tr w:rsidR="00BF554E" w:rsidRPr="00652B31" w:rsidTr="00FA22C9">
        <w:trPr>
          <w:trHeight w:val="418"/>
        </w:trPr>
        <w:tc>
          <w:tcPr>
            <w:tcW w:w="1720" w:type="dxa"/>
            <w:tcBorders>
              <w:top w:val="nil"/>
              <w:left w:val="nil"/>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miR-30e-5p</w:t>
            </w:r>
          </w:p>
        </w:tc>
        <w:tc>
          <w:tcPr>
            <w:tcW w:w="1839" w:type="dxa"/>
            <w:tcBorders>
              <w:top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c>
          <w:tcPr>
            <w:tcW w:w="1559" w:type="dxa"/>
            <w:tcBorders>
              <w:top w:val="nil"/>
              <w:lef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6E296A">
              <w:rPr>
                <w:rFonts w:ascii="Calibri" w:eastAsia="Times New Roman" w:hAnsi="Calibri" w:cs="Times New Roman"/>
                <w:b/>
                <w:color w:val="000000"/>
              </w:rPr>
              <w:t>↓</w:t>
            </w:r>
            <w:r>
              <w:rPr>
                <w:rFonts w:ascii="Calibri" w:eastAsia="Times New Roman" w:hAnsi="Calibri" w:cs="Times New Roman"/>
                <w:b/>
                <w:color w:val="000000"/>
              </w:rPr>
              <w:t xml:space="preserve"> </w:t>
            </w:r>
            <w:r>
              <w:fldChar w:fldCharType="begin"/>
            </w:r>
            <w:r>
              <w:instrText>ADDIN RW.CITE{{714 Ovchinnikova,E.S. 2016}}</w:instrText>
            </w:r>
            <w:r>
              <w:fldChar w:fldCharType="separate"/>
            </w:r>
            <w:r w:rsidRPr="00BF554E">
              <w:rPr>
                <w:rFonts w:ascii="Calibri" w:hAnsi="Calibri"/>
              </w:rPr>
              <w:t>[2]</w:t>
            </w:r>
            <w:r>
              <w:fldChar w:fldCharType="end"/>
            </w:r>
          </w:p>
        </w:tc>
        <w:tc>
          <w:tcPr>
            <w:tcW w:w="2127" w:type="dxa"/>
            <w:tcBorders>
              <w:top w:val="nil"/>
              <w:right w:val="nil"/>
            </w:tcBorders>
            <w:shd w:val="clear" w:color="auto" w:fill="auto"/>
            <w:noWrap/>
            <w:hideMark/>
          </w:tcPr>
          <w:p w:rsidR="00BF554E" w:rsidRPr="00EA4AE9"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RW.CITE{{753 Hirt,M.N. 2015; 768 Roca-Alonso,L. 2015}}</w:instrText>
            </w:r>
            <w:r>
              <w:rPr>
                <w:lang w:val="en-US"/>
              </w:rPr>
              <w:fldChar w:fldCharType="separate"/>
            </w:r>
            <w:r w:rsidRPr="00BF554E">
              <w:rPr>
                <w:rFonts w:ascii="Calibri" w:hAnsi="Calibri"/>
                <w:lang w:val="en-US"/>
              </w:rPr>
              <w:t>[22,23]</w:t>
            </w:r>
            <w:r>
              <w:rPr>
                <w:lang w:val="en-US"/>
              </w:rPr>
              <w:fldChar w:fldCharType="end"/>
            </w:r>
          </w:p>
        </w:tc>
        <w:tc>
          <w:tcPr>
            <w:tcW w:w="1134" w:type="dxa"/>
            <w:tcBorders>
              <w:top w:val="nil"/>
              <w:left w:val="nil"/>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r w:rsidR="00BF554E" w:rsidRPr="00652B31" w:rsidTr="00FA22C9">
        <w:trPr>
          <w:trHeight w:val="416"/>
        </w:trPr>
        <w:tc>
          <w:tcPr>
            <w:tcW w:w="1720" w:type="dxa"/>
            <w:tcBorders>
              <w:top w:val="nil"/>
              <w:left w:val="nil"/>
              <w:bottom w:val="single" w:sz="4" w:space="0" w:color="auto"/>
            </w:tcBorders>
            <w:shd w:val="clear" w:color="auto" w:fill="auto"/>
            <w:noWrap/>
            <w:hideMark/>
          </w:tcPr>
          <w:p w:rsidR="00BF554E" w:rsidRPr="00652B31" w:rsidRDefault="00BF554E" w:rsidP="00FA22C9">
            <w:pPr>
              <w:spacing w:after="0" w:line="240" w:lineRule="auto"/>
              <w:rPr>
                <w:rFonts w:ascii="Calibri" w:eastAsia="Times New Roman" w:hAnsi="Calibri" w:cs="Times New Roman"/>
                <w:b/>
                <w:bCs/>
                <w:color w:val="000000"/>
              </w:rPr>
            </w:pPr>
            <w:r w:rsidRPr="00652B31">
              <w:rPr>
                <w:rFonts w:ascii="Calibri" w:eastAsia="Times New Roman" w:hAnsi="Calibri" w:cs="Times New Roman"/>
                <w:b/>
                <w:bCs/>
                <w:color w:val="000000"/>
              </w:rPr>
              <w:t>let-7i-5p</w:t>
            </w:r>
          </w:p>
        </w:tc>
        <w:tc>
          <w:tcPr>
            <w:tcW w:w="1839" w:type="dxa"/>
            <w:tcBorders>
              <w:top w:val="nil"/>
              <w:bottom w:val="single" w:sz="4" w:space="0" w:color="auto"/>
            </w:tcBorders>
            <w:shd w:val="clear" w:color="auto" w:fill="auto"/>
            <w:noWrap/>
            <w:hideMark/>
          </w:tcPr>
          <w:p w:rsidR="00BF554E" w:rsidRPr="00652B31" w:rsidRDefault="00BF554E" w:rsidP="00FA22C9">
            <w:pPr>
              <w:spacing w:after="0" w:line="240" w:lineRule="auto"/>
              <w:rPr>
                <w:rFonts w:ascii="Calibri" w:eastAsia="Times New Roman" w:hAnsi="Calibri" w:cs="Times New Roman"/>
                <w:color w:val="000000"/>
              </w:rPr>
            </w:pPr>
          </w:p>
        </w:tc>
        <w:tc>
          <w:tcPr>
            <w:tcW w:w="1559" w:type="dxa"/>
            <w:tcBorders>
              <w:top w:val="nil"/>
              <w:bottom w:val="single" w:sz="4" w:space="0" w:color="auto"/>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fldChar w:fldCharType="begin"/>
            </w:r>
            <w:r>
              <w:instrText>ADDIN RW.CITE{{714 Ovchinnikova,E.S. 2016}}</w:instrText>
            </w:r>
            <w:r>
              <w:fldChar w:fldCharType="separate"/>
            </w:r>
            <w:r w:rsidRPr="00BF554E">
              <w:rPr>
                <w:rFonts w:ascii="Calibri" w:hAnsi="Calibri"/>
              </w:rPr>
              <w:t>[2]</w:t>
            </w:r>
            <w:r>
              <w:fldChar w:fldCharType="end"/>
            </w:r>
          </w:p>
        </w:tc>
        <w:tc>
          <w:tcPr>
            <w:tcW w:w="2127" w:type="dxa"/>
            <w:tcBorders>
              <w:top w:val="nil"/>
              <w:bottom w:val="single" w:sz="4" w:space="0" w:color="auto"/>
            </w:tcBorders>
            <w:shd w:val="clear" w:color="auto" w:fill="auto"/>
            <w:noWrap/>
            <w:hideMark/>
          </w:tcPr>
          <w:p w:rsidR="00BF554E" w:rsidRPr="00EA4AE9" w:rsidRDefault="00BF554E" w:rsidP="00FA22C9">
            <w:pPr>
              <w:spacing w:line="240" w:lineRule="auto"/>
              <w:jc w:val="center"/>
              <w:rPr>
                <w:lang w:val="en-US"/>
              </w:rPr>
            </w:pPr>
            <w:r w:rsidRPr="006E296A">
              <w:rPr>
                <w:rFonts w:ascii="Calibri" w:eastAsia="Times New Roman" w:hAnsi="Calibri" w:cs="Times New Roman"/>
                <w:b/>
                <w:color w:val="000000"/>
              </w:rPr>
              <w:t>↓</w:t>
            </w:r>
            <w:r>
              <w:rPr>
                <w:rFonts w:ascii="Calibri" w:eastAsia="Times New Roman" w:hAnsi="Calibri" w:cs="Times New Roman"/>
                <w:color w:val="000000"/>
              </w:rPr>
              <w:t xml:space="preserve"> </w:t>
            </w:r>
            <w:r>
              <w:rPr>
                <w:lang w:val="en-US"/>
              </w:rPr>
              <w:fldChar w:fldCharType="begin"/>
            </w:r>
            <w:r>
              <w:rPr>
                <w:lang w:val="en-US"/>
              </w:rPr>
              <w:instrText>ADDIN RW.CITE{{754 Wang,X. 2015; 764 Satoh,M. 2011}}</w:instrText>
            </w:r>
            <w:r>
              <w:rPr>
                <w:lang w:val="en-US"/>
              </w:rPr>
              <w:fldChar w:fldCharType="separate"/>
            </w:r>
            <w:r w:rsidRPr="00BF554E">
              <w:rPr>
                <w:rFonts w:ascii="Calibri" w:hAnsi="Calibri"/>
                <w:lang w:val="en-US"/>
              </w:rPr>
              <w:t>[20,24]</w:t>
            </w:r>
            <w:r>
              <w:rPr>
                <w:lang w:val="en-US"/>
              </w:rPr>
              <w:fldChar w:fldCharType="end"/>
            </w:r>
          </w:p>
        </w:tc>
        <w:tc>
          <w:tcPr>
            <w:tcW w:w="1134" w:type="dxa"/>
            <w:tcBorders>
              <w:top w:val="nil"/>
              <w:bottom w:val="single" w:sz="4" w:space="0" w:color="auto"/>
              <w:right w:val="nil"/>
            </w:tcBorders>
            <w:shd w:val="clear" w:color="auto" w:fill="auto"/>
            <w:noWrap/>
            <w:hideMark/>
          </w:tcPr>
          <w:p w:rsidR="00BF554E" w:rsidRPr="00652B31" w:rsidRDefault="00BF554E" w:rsidP="00FA22C9">
            <w:pPr>
              <w:spacing w:after="0" w:line="240" w:lineRule="auto"/>
              <w:jc w:val="center"/>
              <w:rPr>
                <w:rFonts w:ascii="Calibri" w:eastAsia="Times New Roman" w:hAnsi="Calibri" w:cs="Times New Roman"/>
                <w:color w:val="000000"/>
              </w:rPr>
            </w:pPr>
          </w:p>
        </w:tc>
      </w:tr>
    </w:tbl>
    <w:p w:rsidR="00BF554E" w:rsidRDefault="00BF554E" w:rsidP="00BF554E">
      <w:pPr>
        <w:rPr>
          <w:rFonts w:eastAsia="Times New Roman"/>
          <w:shd w:val="clear" w:color="auto" w:fill="00FFFF"/>
          <w:lang w:val="en-US"/>
        </w:rPr>
      </w:pPr>
    </w:p>
    <w:p w:rsidR="00BF554E" w:rsidRDefault="00BF554E" w:rsidP="00537EE2">
      <w:pPr>
        <w:rPr>
          <w:rFonts w:cs="Arial"/>
          <w:color w:val="2E2E2E"/>
          <w:shd w:val="clear" w:color="auto" w:fill="FFFFFF"/>
          <w:lang w:val="en-US"/>
        </w:rPr>
      </w:pPr>
      <w:r w:rsidRPr="00FC31AE">
        <w:rPr>
          <w:rFonts w:cs="Arial"/>
          <w:color w:val="2E2E2E"/>
          <w:shd w:val="clear" w:color="auto" w:fill="FFFFFF"/>
          <w:lang w:val="en-US"/>
        </w:rPr>
        <w:t xml:space="preserve">Expression of the investigated miRNAs </w:t>
      </w:r>
      <w:r>
        <w:rPr>
          <w:rFonts w:cs="Arial"/>
          <w:color w:val="2E2E2E"/>
          <w:shd w:val="clear" w:color="auto" w:fill="FFFFFF"/>
          <w:lang w:val="en-US"/>
        </w:rPr>
        <w:t xml:space="preserve">in heart failure </w:t>
      </w:r>
      <w:r w:rsidRPr="00FC31AE">
        <w:rPr>
          <w:rFonts w:cs="Arial"/>
          <w:color w:val="2E2E2E"/>
          <w:shd w:val="clear" w:color="auto" w:fill="FFFFFF"/>
          <w:lang w:val="en-US"/>
        </w:rPr>
        <w:t xml:space="preserve">are </w:t>
      </w:r>
      <w:r>
        <w:rPr>
          <w:rFonts w:cs="Arial"/>
          <w:color w:val="2E2E2E"/>
          <w:shd w:val="clear" w:color="auto" w:fill="FFFFFF"/>
          <w:lang w:val="en-US"/>
        </w:rPr>
        <w:t>presented</w:t>
      </w:r>
      <w:r w:rsidRPr="00FC31AE">
        <w:rPr>
          <w:rFonts w:cs="Arial"/>
          <w:color w:val="2E2E2E"/>
          <w:shd w:val="clear" w:color="auto" w:fill="FFFFFF"/>
          <w:lang w:val="en-US"/>
        </w:rPr>
        <w:t xml:space="preserve"> with arrows </w:t>
      </w:r>
      <w:r>
        <w:rPr>
          <w:rFonts w:cs="Arial"/>
          <w:color w:val="2E2E2E"/>
          <w:shd w:val="clear" w:color="auto" w:fill="FFFFFF"/>
          <w:lang w:val="en-US"/>
        </w:rPr>
        <w:t xml:space="preserve">indicating an upregulation or </w:t>
      </w:r>
      <w:r w:rsidRPr="00FC31AE">
        <w:rPr>
          <w:rFonts w:cs="Arial"/>
          <w:color w:val="2E2E2E"/>
          <w:shd w:val="clear" w:color="auto" w:fill="FFFFFF"/>
          <w:lang w:val="en-US"/>
        </w:rPr>
        <w:t>downregulation compared to the control situation</w:t>
      </w:r>
      <w:r>
        <w:rPr>
          <w:rFonts w:cs="Arial"/>
          <w:color w:val="2E2E2E"/>
          <w:shd w:val="clear" w:color="auto" w:fill="FFFFFF"/>
          <w:lang w:val="en-US"/>
        </w:rPr>
        <w:t xml:space="preserve"> (absence of heart failure)</w:t>
      </w:r>
      <w:r w:rsidRPr="00FC31AE">
        <w:rPr>
          <w:rFonts w:cs="Arial"/>
          <w:color w:val="2E2E2E"/>
          <w:shd w:val="clear" w:color="auto" w:fill="FFFFFF"/>
          <w:lang w:val="en-US"/>
        </w:rPr>
        <w:t xml:space="preserve">. </w:t>
      </w:r>
      <w:r>
        <w:rPr>
          <w:rFonts w:cs="Arial"/>
          <w:color w:val="2E2E2E"/>
          <w:shd w:val="clear" w:color="auto" w:fill="FFFFFF"/>
          <w:lang w:val="en-US"/>
        </w:rPr>
        <w:br/>
      </w:r>
    </w:p>
    <w:p w:rsidR="00BF554E" w:rsidRDefault="00BF554E" w:rsidP="00BF554E">
      <w:pPr>
        <w:spacing w:line="480" w:lineRule="auto"/>
        <w:rPr>
          <w:rFonts w:cs="Arial"/>
          <w:color w:val="2E2E2E"/>
          <w:shd w:val="clear" w:color="auto" w:fill="FFFFFF"/>
          <w:lang w:val="en-US"/>
        </w:rPr>
      </w:pPr>
    </w:p>
    <w:p w:rsidR="00BF554E" w:rsidRDefault="00BF554E" w:rsidP="00BF554E">
      <w:pPr>
        <w:spacing w:line="480" w:lineRule="auto"/>
        <w:rPr>
          <w:rFonts w:cs="Arial"/>
          <w:color w:val="2E2E2E"/>
          <w:shd w:val="clear" w:color="auto" w:fill="FFFFFF"/>
          <w:lang w:val="en-US"/>
        </w:rPr>
      </w:pPr>
    </w:p>
    <w:p w:rsidR="00BF554E" w:rsidRDefault="00BF554E" w:rsidP="00BF554E">
      <w:pPr>
        <w:spacing w:line="480" w:lineRule="auto"/>
        <w:rPr>
          <w:rFonts w:cs="Arial"/>
          <w:color w:val="2E2E2E"/>
          <w:shd w:val="clear" w:color="auto" w:fill="FFFFFF"/>
          <w:lang w:val="en-US"/>
        </w:rPr>
      </w:pPr>
    </w:p>
    <w:p w:rsidR="00BF554E" w:rsidRDefault="00BF554E" w:rsidP="00BF554E">
      <w:pPr>
        <w:spacing w:line="480" w:lineRule="auto"/>
        <w:rPr>
          <w:rFonts w:cs="Arial"/>
          <w:color w:val="2E2E2E"/>
          <w:shd w:val="clear" w:color="auto" w:fill="FFFFFF"/>
          <w:lang w:val="en-US"/>
        </w:rPr>
      </w:pPr>
    </w:p>
    <w:p w:rsidR="00BF554E" w:rsidRDefault="00BF554E" w:rsidP="00BF554E">
      <w:pPr>
        <w:spacing w:line="480" w:lineRule="auto"/>
        <w:rPr>
          <w:rFonts w:cs="Arial"/>
          <w:color w:val="2E2E2E"/>
          <w:shd w:val="clear" w:color="auto" w:fill="FFFFFF"/>
          <w:lang w:val="en-US"/>
        </w:rPr>
      </w:pPr>
    </w:p>
    <w:p w:rsidR="00DF6486" w:rsidRDefault="00DF6486" w:rsidP="00BF554E">
      <w:pPr>
        <w:spacing w:line="480" w:lineRule="auto"/>
        <w:rPr>
          <w:rFonts w:cs="Arial"/>
          <w:color w:val="2E2E2E"/>
          <w:shd w:val="clear" w:color="auto" w:fill="FFFFFF"/>
          <w:lang w:val="en-US"/>
        </w:rPr>
      </w:pPr>
    </w:p>
    <w:p w:rsidR="00BF554E" w:rsidRPr="00035D8D" w:rsidRDefault="00BF554E" w:rsidP="00BF554E">
      <w:pPr>
        <w:pStyle w:val="Normaalweb"/>
        <w:rPr>
          <w:rFonts w:asciiTheme="minorHAnsi" w:hAnsiTheme="minorHAnsi"/>
          <w:sz w:val="22"/>
          <w:szCs w:val="22"/>
        </w:rPr>
      </w:pPr>
      <w:proofErr w:type="spellStart"/>
      <w:r w:rsidRPr="00035D8D">
        <w:rPr>
          <w:rFonts w:asciiTheme="minorHAnsi" w:hAnsiTheme="minorHAnsi" w:cs="Arial"/>
          <w:b/>
          <w:color w:val="2E2E2E"/>
          <w:sz w:val="22"/>
          <w:szCs w:val="22"/>
          <w:shd w:val="clear" w:color="auto" w:fill="FFFFFF"/>
        </w:rPr>
        <w:lastRenderedPageBreak/>
        <w:t>References</w:t>
      </w:r>
      <w:proofErr w:type="spellEnd"/>
      <w:r w:rsidRPr="00035D8D">
        <w:rPr>
          <w:rFonts w:asciiTheme="minorHAnsi" w:hAnsiTheme="minorHAnsi"/>
          <w:sz w:val="22"/>
          <w:szCs w:val="22"/>
          <w:lang w:val="en-US"/>
        </w:rPr>
        <w:fldChar w:fldCharType="begin"/>
      </w:r>
      <w:r w:rsidRPr="00035D8D">
        <w:rPr>
          <w:rFonts w:asciiTheme="minorHAnsi" w:hAnsiTheme="minorHAnsi"/>
          <w:sz w:val="22"/>
          <w:szCs w:val="22"/>
        </w:rPr>
        <w:instrText>ADDIN RW.BIB</w:instrText>
      </w:r>
      <w:r w:rsidRPr="00035D8D">
        <w:rPr>
          <w:rFonts w:asciiTheme="minorHAnsi" w:hAnsiTheme="minorHAnsi"/>
          <w:sz w:val="22"/>
          <w:szCs w:val="22"/>
          <w:lang w:val="en-US"/>
        </w:rPr>
        <w:fldChar w:fldCharType="separate"/>
      </w:r>
      <w:r w:rsidRPr="00035D8D">
        <w:rPr>
          <w:rFonts w:asciiTheme="minorHAnsi" w:hAnsiTheme="minorHAnsi"/>
          <w:sz w:val="22"/>
          <w:szCs w:val="22"/>
        </w:rPr>
        <w:br/>
      </w:r>
    </w:p>
    <w:p w:rsidR="00BF554E" w:rsidRPr="00537EE2" w:rsidRDefault="00BF554E" w:rsidP="00BF554E">
      <w:pPr>
        <w:pStyle w:val="Normaalweb"/>
        <w:rPr>
          <w:rFonts w:asciiTheme="minorHAnsi" w:hAnsiTheme="minorHAnsi"/>
          <w:sz w:val="20"/>
          <w:lang w:val="en-US"/>
        </w:rPr>
      </w:pPr>
      <w:r w:rsidRPr="00BF554E">
        <w:rPr>
          <w:rFonts w:asciiTheme="minorHAnsi" w:hAnsiTheme="minorHAnsi"/>
          <w:sz w:val="20"/>
        </w:rPr>
        <w:t xml:space="preserve">1. van Almen GC, Verhesen W, van Leeuwen RE, van de Vrie M, Eurlings C, Schellings MW, et al. </w:t>
      </w:r>
      <w:r w:rsidRPr="00537EE2">
        <w:rPr>
          <w:rFonts w:asciiTheme="minorHAnsi" w:hAnsiTheme="minorHAnsi"/>
          <w:sz w:val="20"/>
          <w:lang w:val="en-US"/>
        </w:rPr>
        <w:t>MicroRNA-18 and microRNA-19 regulate CTGF and TSP-1 expression in age-related heart failure. Aging Cell. 2011;10: 769-779.</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2. Ovchinnikova ES, Schmitter D, Vegter EL, Ter Maaten JM, Valente MA, Liu LC, et al. Signature of circulating microRNAs in patients with acute heart failure. Eur J Heart Fail. 2016;18: 414-423.</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3. Fang L, Ellims AH, Moore XL, White DA, Taylor AJ, Chin-Dusting J, et al. Circulating microRNAs as biomarkers for diffuse myocardial fibrosis in patients with hypertrophic cardiomyopathy. J Transl Med. 2015;13: 314-015-0672-0.</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4. Martinelli NC, Cohen CR, Santos KG, Castro MA, Biolo A, Frick L, et al. An analysis of the global expression of microRNAs in an experimental model of physiological left ventricular hypertrophy. PLoS One. 2014;9: e93271.</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5. Han M, Yang Z, Sayed D, He M, Gao S, Lin L, et al. GATA4 expression is primarily regulated via a miR-26b-dependent post-transcriptional mechanism during cardiac hypertrophy. Cardiovasc Res. 2012;93: 645-654.</w:t>
      </w:r>
    </w:p>
    <w:p w:rsidR="00BF554E" w:rsidRPr="00BF554E" w:rsidRDefault="00BF554E" w:rsidP="00BF554E">
      <w:pPr>
        <w:pStyle w:val="Normaalweb"/>
        <w:rPr>
          <w:rFonts w:asciiTheme="minorHAnsi" w:hAnsiTheme="minorHAnsi"/>
          <w:sz w:val="20"/>
        </w:rPr>
      </w:pPr>
      <w:r w:rsidRPr="00537EE2">
        <w:rPr>
          <w:rFonts w:asciiTheme="minorHAnsi" w:hAnsiTheme="minorHAnsi"/>
          <w:sz w:val="20"/>
          <w:lang w:val="en-US"/>
        </w:rPr>
        <w:t xml:space="preserve">6. Seronde MF, Vausort M, Gayat E, Goretti E, Ng LL, Squire IB, et al. Circulating microRNAs and Outcome in Patients with Acute Heart Failure. </w:t>
      </w:r>
      <w:r w:rsidRPr="00BF554E">
        <w:rPr>
          <w:rFonts w:asciiTheme="minorHAnsi" w:hAnsiTheme="minorHAnsi"/>
          <w:sz w:val="20"/>
        </w:rPr>
        <w:t>PLoS One. 2015;10: e0142237.</w:t>
      </w:r>
    </w:p>
    <w:p w:rsidR="00BF554E" w:rsidRPr="00537EE2" w:rsidRDefault="00BF554E" w:rsidP="00BF554E">
      <w:pPr>
        <w:pStyle w:val="Normaalweb"/>
        <w:rPr>
          <w:rFonts w:asciiTheme="minorHAnsi" w:hAnsiTheme="minorHAnsi"/>
          <w:sz w:val="20"/>
          <w:lang w:val="en-US"/>
        </w:rPr>
      </w:pPr>
      <w:r w:rsidRPr="00BF554E">
        <w:rPr>
          <w:rFonts w:asciiTheme="minorHAnsi" w:hAnsiTheme="minorHAnsi"/>
          <w:sz w:val="20"/>
        </w:rPr>
        <w:t xml:space="preserve">7. Qin D, Wang X, Li Y, Yang L, Wang R, Peng J, et al. </w:t>
      </w:r>
      <w:r w:rsidRPr="00537EE2">
        <w:rPr>
          <w:rFonts w:asciiTheme="minorHAnsi" w:hAnsiTheme="minorHAnsi"/>
          <w:sz w:val="20"/>
          <w:lang w:val="en-US"/>
        </w:rPr>
        <w:t>MicroRNA-223-5p and -3p Cooperatively Suppress Necroptosis in Ischemic/Reperfused Hearts. J Biol Chem. 2016;291: 20247-20259.</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8. Wang YS, Zhou J, Hong K, Cheng XS, Li YG. MicroRNA-223 displays a protective role against cardiomyocyte hypertrophy by targeting cardiac troponin I-interacting kinase. Cell Physiol Biochem. 2015;35: 1546-1556.</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9. Shi L, Kojonazarov B, Elgheznawy A, Popp R, Dahal BK, Bohm M, et al. miR-223-IGF-IR signalling in hypoxia- and load-induced right-ventricular failure: a novel therapeutic approach. Cardiovasc Res. 2016;111: 184-193.</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10. Dickinson BA, Semus HM, Montgomery RL, Stack C, Latimer PA, Lewton SM, et al. Plasma microRNAs serve as biomarkers of therapeutic efficacy and disease progression in hypertension-induced heart failure. Eur J Heart Fail. 2013;15: 650-659.</w:t>
      </w:r>
    </w:p>
    <w:p w:rsidR="00BF554E" w:rsidRPr="00BF554E" w:rsidRDefault="00BF554E" w:rsidP="00BF554E">
      <w:pPr>
        <w:pStyle w:val="Normaalweb"/>
        <w:rPr>
          <w:rFonts w:asciiTheme="minorHAnsi" w:hAnsiTheme="minorHAnsi"/>
          <w:sz w:val="20"/>
        </w:rPr>
      </w:pPr>
      <w:r w:rsidRPr="00537EE2">
        <w:rPr>
          <w:rFonts w:asciiTheme="minorHAnsi" w:hAnsiTheme="minorHAnsi"/>
          <w:sz w:val="20"/>
          <w:lang w:val="en-US"/>
        </w:rPr>
        <w:t xml:space="preserve">11. van Rooij E, Sutherland LB, Liu N, Williams AH, McAnally J, Gerard RD, et al. A signature pattern of stress-responsive microRNAs that can evoke cardiac hypertrophy and heart failure. </w:t>
      </w:r>
      <w:r w:rsidRPr="00BF554E">
        <w:rPr>
          <w:rFonts w:asciiTheme="minorHAnsi" w:hAnsiTheme="minorHAnsi"/>
          <w:sz w:val="20"/>
        </w:rPr>
        <w:t>Proc Natl Acad Sci U S A. 2006;103: 18255-18260.</w:t>
      </w:r>
    </w:p>
    <w:p w:rsidR="00BF554E" w:rsidRPr="00537EE2" w:rsidRDefault="00BF554E" w:rsidP="00BF554E">
      <w:pPr>
        <w:pStyle w:val="Normaalweb"/>
        <w:rPr>
          <w:rFonts w:asciiTheme="minorHAnsi" w:hAnsiTheme="minorHAnsi"/>
          <w:sz w:val="20"/>
          <w:lang w:val="en-US"/>
        </w:rPr>
      </w:pPr>
      <w:r w:rsidRPr="00BF554E">
        <w:rPr>
          <w:rFonts w:asciiTheme="minorHAnsi" w:hAnsiTheme="minorHAnsi"/>
          <w:sz w:val="20"/>
        </w:rPr>
        <w:t xml:space="preserve">12. el Azzouzi H, Leptidis S, Dirkx E, Hoeks J, van Bree B, Brand K, et al. </w:t>
      </w:r>
      <w:r w:rsidRPr="00537EE2">
        <w:rPr>
          <w:rFonts w:asciiTheme="minorHAnsi" w:hAnsiTheme="minorHAnsi"/>
          <w:sz w:val="20"/>
          <w:lang w:val="en-US"/>
        </w:rPr>
        <w:t>The hypoxia-inducible microRNA cluster miR-199a approximately 214 targets myocardial PPARdelta and impairs mitochondrial fatty acid oxidation. Cell Metab. 2013;18: 341-354.</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13. Li J, Rohailla S, Gelber N, Rutka J, Sabah N, Gladstone RA, et al. MicroRNA-144 is a circulating effector of remote ischemic preconditioning. Basic Res Cardiol. 2014;109: 423-014-0423-z. Epub 2014 Jul 25.</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14. Baumgarten A, Bang C, Tschirner A, Engelmann A, Adams V, von Haehling S, et al. TWIST1 regulates the activity of ubiquitin proteasome system via the miR-199/214 cluster in human end-stage dilated cardiomyopathy. Int J Cardiol. 2013;168: 1447-1452.</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15. Ellis KL, Cameron VA, Troughton RW, Frampton CM, Ellmers LJ, Richards AM. Circulating microRNAs as candidate markers to distinguish heart failure in breathless patients. Eur J Heart Fail. 2013;15: 1138-1147.</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lastRenderedPageBreak/>
        <w:t>16. Song XW, Li Q, Lin L, Wang XC, Li DF, Wang GK, et al. MicroRNAs are dynamically regulated in hypertrophic hearts, and miR-199a is essential for the maintenance of cell size in cardiomyocytes. J Cell Physiol. 2010;225: 437-443.</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17. Marques FZ, Vizi D, Khammy O, Mariani JA, Kaye DM. The transcardiac gradient of cardio-microRNAs in the failing heart. Eur J Heart Fail. 2016;18: 1000-1008.</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18. Nishi H, Ono K, Horie T, Nagao K, Kinoshita M, Kuwabara Y, et al. MicroRNA-27a regulates beta cardiac myosin heavy chain gene expression by targeting thyroid hormone receptor beta1 in neonatal rat ventricular myocytes. Mol Cell Biol. 2011;31: 744-755.</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n-US"/>
        </w:rPr>
        <w:t xml:space="preserve">19. Bernardo </w:t>
      </w:r>
      <w:r w:rsidRPr="00035D8D">
        <w:rPr>
          <w:rFonts w:asciiTheme="minorHAnsi" w:hAnsiTheme="minorHAnsi"/>
          <w:sz w:val="20"/>
          <w:szCs w:val="20"/>
          <w:lang w:val="en-US"/>
        </w:rPr>
        <w:t>BC, Nguyen SS, Winbanks CE, Gao XM, Boey EJ, Tham YK, et al. Therapeutic silencing of miR-652 restores heart function and attenuates adverse remodeling in a setting of established patholog</w:t>
      </w:r>
      <w:r w:rsidR="00035D8D" w:rsidRPr="00035D8D">
        <w:rPr>
          <w:rFonts w:asciiTheme="minorHAnsi" w:hAnsiTheme="minorHAnsi"/>
          <w:sz w:val="20"/>
          <w:szCs w:val="20"/>
          <w:lang w:val="en-US"/>
        </w:rPr>
        <w:t>ical hypertrophy. FASEB J. 2014</w:t>
      </w:r>
      <w:r w:rsidR="00035D8D" w:rsidRPr="00035D8D">
        <w:rPr>
          <w:rFonts w:ascii="Calibri" w:hAnsi="Calibri"/>
          <w:sz w:val="20"/>
          <w:szCs w:val="20"/>
          <w:lang w:val="de-DE"/>
        </w:rPr>
        <w:t>;12: 5097-110.</w:t>
      </w:r>
    </w:p>
    <w:p w:rsidR="00BF554E" w:rsidRPr="00BF554E" w:rsidRDefault="00BF554E" w:rsidP="00BF554E">
      <w:pPr>
        <w:pStyle w:val="Normaalweb"/>
        <w:rPr>
          <w:rFonts w:asciiTheme="minorHAnsi" w:hAnsiTheme="minorHAnsi"/>
          <w:sz w:val="20"/>
        </w:rPr>
      </w:pPr>
      <w:r w:rsidRPr="00537EE2">
        <w:rPr>
          <w:rFonts w:asciiTheme="minorHAnsi" w:hAnsiTheme="minorHAnsi"/>
          <w:sz w:val="20"/>
          <w:lang w:val="en-US"/>
        </w:rPr>
        <w:t xml:space="preserve">20. Wang X, Wang HX, Li YL, Zhang CC, Zhou CY, Wang L, et al. MicroRNA Let-7i negatively regulates cardiac inflammation and fibrosis. </w:t>
      </w:r>
      <w:r w:rsidRPr="00BF554E">
        <w:rPr>
          <w:rFonts w:asciiTheme="minorHAnsi" w:hAnsiTheme="minorHAnsi"/>
          <w:sz w:val="20"/>
        </w:rPr>
        <w:t>Hypertension. 2015;66: 776-785.</w:t>
      </w:r>
    </w:p>
    <w:p w:rsidR="00BF554E" w:rsidRPr="00537EE2" w:rsidRDefault="00BF554E" w:rsidP="00BF554E">
      <w:pPr>
        <w:pStyle w:val="Normaalweb"/>
        <w:rPr>
          <w:rFonts w:asciiTheme="minorHAnsi" w:hAnsiTheme="minorHAnsi"/>
          <w:sz w:val="20"/>
          <w:lang w:val="en-US"/>
        </w:rPr>
      </w:pPr>
      <w:r w:rsidRPr="00BF554E">
        <w:rPr>
          <w:rFonts w:asciiTheme="minorHAnsi" w:hAnsiTheme="minorHAnsi"/>
          <w:sz w:val="20"/>
        </w:rPr>
        <w:t xml:space="preserve">21. Huang S, Zou X, Zhu JN, Fu YH, Lin QX, Liang YY, et al. </w:t>
      </w:r>
      <w:r w:rsidRPr="00537EE2">
        <w:rPr>
          <w:rFonts w:asciiTheme="minorHAnsi" w:hAnsiTheme="minorHAnsi"/>
          <w:sz w:val="20"/>
          <w:lang w:val="en-US"/>
        </w:rPr>
        <w:t>Attenuation of microRNA-16 derepresses the cyclins D1, D2 and E1 to provoke cardiomyocyte hypertrophy. J Cell Mol Med. 2015;19: 608-619.</w:t>
      </w:r>
    </w:p>
    <w:p w:rsidR="00BF554E" w:rsidRPr="00537EE2" w:rsidRDefault="00BF554E" w:rsidP="00BF554E">
      <w:pPr>
        <w:pStyle w:val="Normaalweb"/>
        <w:rPr>
          <w:rFonts w:asciiTheme="minorHAnsi" w:hAnsiTheme="minorHAnsi"/>
          <w:sz w:val="20"/>
          <w:lang w:val="es-ES"/>
        </w:rPr>
      </w:pPr>
      <w:r w:rsidRPr="00537EE2">
        <w:rPr>
          <w:rFonts w:asciiTheme="minorHAnsi" w:hAnsiTheme="minorHAnsi"/>
          <w:sz w:val="20"/>
          <w:lang w:val="en-US"/>
        </w:rPr>
        <w:t xml:space="preserve">22. Hirt MN, Werner T, Indenbirken D, Alawi M, Demin P, Kunze AC, et al. Deciphering the microRNA signature of pathological cardiac hypertrophy by engineered heart tissue- and sequencing-technology. </w:t>
      </w:r>
      <w:r w:rsidRPr="00537EE2">
        <w:rPr>
          <w:rFonts w:asciiTheme="minorHAnsi" w:hAnsiTheme="minorHAnsi"/>
          <w:sz w:val="20"/>
          <w:lang w:val="es-ES"/>
        </w:rPr>
        <w:t>J Mol Cell Cardiol. 2015;81: 1-9.</w:t>
      </w:r>
    </w:p>
    <w:p w:rsidR="00BF554E" w:rsidRPr="00537EE2" w:rsidRDefault="00BF554E" w:rsidP="00BF554E">
      <w:pPr>
        <w:pStyle w:val="Normaalweb"/>
        <w:rPr>
          <w:rFonts w:asciiTheme="minorHAnsi" w:hAnsiTheme="minorHAnsi"/>
          <w:sz w:val="20"/>
          <w:lang w:val="en-US"/>
        </w:rPr>
      </w:pPr>
      <w:r w:rsidRPr="00537EE2">
        <w:rPr>
          <w:rFonts w:asciiTheme="minorHAnsi" w:hAnsiTheme="minorHAnsi"/>
          <w:sz w:val="20"/>
          <w:lang w:val="es-ES"/>
        </w:rPr>
        <w:t xml:space="preserve">23. Roca-Alonso L, Castellano L, Mills A, Dabrowska AF, Sikkel MB, Pellegrino L, et al. </w:t>
      </w:r>
      <w:r w:rsidRPr="00537EE2">
        <w:rPr>
          <w:rFonts w:asciiTheme="minorHAnsi" w:hAnsiTheme="minorHAnsi"/>
          <w:sz w:val="20"/>
          <w:lang w:val="en-US"/>
        </w:rPr>
        <w:t>Myocardial MiR-30 downregulation triggered by doxorubicin drives alterations in beta-adrenergic signaling and enhances apoptosis. Cell Death Dis. 2015;6: e1754.</w:t>
      </w:r>
    </w:p>
    <w:p w:rsidR="00BF554E" w:rsidRPr="00BF554E" w:rsidRDefault="00BF554E" w:rsidP="00BF554E">
      <w:pPr>
        <w:pStyle w:val="Normaalweb"/>
        <w:rPr>
          <w:rFonts w:asciiTheme="minorHAnsi" w:hAnsiTheme="minorHAnsi"/>
          <w:sz w:val="20"/>
        </w:rPr>
      </w:pPr>
      <w:r w:rsidRPr="00537EE2">
        <w:rPr>
          <w:rFonts w:asciiTheme="minorHAnsi" w:hAnsiTheme="minorHAnsi"/>
          <w:sz w:val="20"/>
          <w:lang w:val="en-US"/>
        </w:rPr>
        <w:t xml:space="preserve">24. Satoh M, Minami Y, Takahashi Y, Tabuchi T, Nakamura M. A cellular microRNA, let-7i, is a novel biomarker for clinical outcome in patients with dilated cardiomyopathy. </w:t>
      </w:r>
      <w:r w:rsidRPr="00BF554E">
        <w:rPr>
          <w:rFonts w:asciiTheme="minorHAnsi" w:hAnsiTheme="minorHAnsi"/>
          <w:sz w:val="20"/>
        </w:rPr>
        <w:t>J Card Fail. 2011;17: 923-929.</w:t>
      </w:r>
    </w:p>
    <w:p w:rsidR="00BF554E" w:rsidRPr="0068665B" w:rsidRDefault="00BF554E" w:rsidP="00BF554E">
      <w:pPr>
        <w:rPr>
          <w:sz w:val="20"/>
          <w:szCs w:val="20"/>
          <w:lang w:val="en-US"/>
        </w:rPr>
      </w:pPr>
      <w:r w:rsidRPr="00BF554E">
        <w:rPr>
          <w:rFonts w:ascii="Calibri" w:eastAsia="Times New Roman" w:hAnsi="Calibri"/>
          <w:sz w:val="20"/>
        </w:rPr>
        <w:t> </w:t>
      </w:r>
      <w:r>
        <w:rPr>
          <w:sz w:val="20"/>
          <w:szCs w:val="20"/>
          <w:lang w:val="en-US"/>
        </w:rPr>
        <w:fldChar w:fldCharType="end"/>
      </w:r>
    </w:p>
    <w:p w:rsidR="00BF554E" w:rsidRPr="00936C00" w:rsidRDefault="00BF554E" w:rsidP="00BF554E">
      <w:pPr>
        <w:spacing w:line="480" w:lineRule="auto"/>
        <w:rPr>
          <w:lang w:val="en-US"/>
        </w:rPr>
      </w:pPr>
      <w:bookmarkStart w:id="0" w:name="_GoBack"/>
      <w:bookmarkEnd w:id="0"/>
    </w:p>
    <w:p w:rsidR="00BF554E" w:rsidRDefault="00BF554E" w:rsidP="00BF554E"/>
    <w:p w:rsidR="00652AD3" w:rsidRDefault="00652AD3"/>
    <w:sectPr w:rsidR="00652AD3" w:rsidSect="00FC31A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4E"/>
    <w:rsid w:val="00035D8D"/>
    <w:rsid w:val="000C57B0"/>
    <w:rsid w:val="00267CEB"/>
    <w:rsid w:val="003C0740"/>
    <w:rsid w:val="003D6E11"/>
    <w:rsid w:val="00447166"/>
    <w:rsid w:val="004C158D"/>
    <w:rsid w:val="004D66BA"/>
    <w:rsid w:val="005365AC"/>
    <w:rsid w:val="00537EE2"/>
    <w:rsid w:val="005D2B04"/>
    <w:rsid w:val="00652AD3"/>
    <w:rsid w:val="00894131"/>
    <w:rsid w:val="009A10AB"/>
    <w:rsid w:val="009C2971"/>
    <w:rsid w:val="00A60C74"/>
    <w:rsid w:val="00A75A2F"/>
    <w:rsid w:val="00B31A58"/>
    <w:rsid w:val="00BA4BCC"/>
    <w:rsid w:val="00BF554E"/>
    <w:rsid w:val="00C15D71"/>
    <w:rsid w:val="00C65FE1"/>
    <w:rsid w:val="00CD5C0B"/>
    <w:rsid w:val="00D4348C"/>
    <w:rsid w:val="00DD23BE"/>
    <w:rsid w:val="00DF6486"/>
    <w:rsid w:val="00F23A62"/>
    <w:rsid w:val="00F5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54E"/>
    <w:pPr>
      <w:spacing w:after="200" w:line="276" w:lineRule="auto"/>
    </w:pPr>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F554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54E"/>
    <w:pPr>
      <w:spacing w:after="200" w:line="276" w:lineRule="auto"/>
    </w:pPr>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F55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Vegter, Eline</dc:creator>
  <cp:keywords/>
  <dc:description/>
  <cp:lastModifiedBy>Vegter, EL (thorax)</cp:lastModifiedBy>
  <cp:revision>4</cp:revision>
  <dcterms:created xsi:type="dcterms:W3CDTF">2017-01-17T16:51:00Z</dcterms:created>
  <dcterms:modified xsi:type="dcterms:W3CDTF">2017-04-27T13:00:00Z</dcterms:modified>
</cp:coreProperties>
</file>