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3C3" w:rsidRPr="00FB3008" w:rsidRDefault="00521CAC" w:rsidP="00C303C3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hint="eastAsia"/>
          <w:b/>
          <w:color w:val="000000" w:themeColor="text1"/>
          <w:sz w:val="24"/>
          <w:szCs w:val="24"/>
        </w:rPr>
        <w:t>S1 Table</w:t>
      </w:r>
      <w:r w:rsidR="00C303C3" w:rsidRPr="00FB3008">
        <w:rPr>
          <w:rFonts w:ascii="Times New Roman" w:hAnsi="Times New Roman" w:hint="eastAsia"/>
          <w:b/>
          <w:color w:val="000000" w:themeColor="text1"/>
          <w:sz w:val="24"/>
          <w:szCs w:val="24"/>
        </w:rPr>
        <w:t>.</w:t>
      </w:r>
      <w:proofErr w:type="gramEnd"/>
      <w:r w:rsidR="00C303C3" w:rsidRPr="00FB3008">
        <w:rPr>
          <w:rFonts w:ascii="Times New Roman" w:hAnsi="Times New Roman" w:hint="eastAsia"/>
          <w:color w:val="000000" w:themeColor="text1"/>
          <w:sz w:val="24"/>
          <w:szCs w:val="24"/>
        </w:rPr>
        <w:t xml:space="preserve"> </w:t>
      </w:r>
      <w:r w:rsidR="00C303C3" w:rsidRPr="00FB3008">
        <w:rPr>
          <w:rFonts w:ascii="Times New Roman" w:hAnsi="Times New Roman" w:hint="eastAsia"/>
          <w:b/>
          <w:color w:val="000000" w:themeColor="text1"/>
          <w:sz w:val="24"/>
          <w:szCs w:val="24"/>
        </w:rPr>
        <w:t xml:space="preserve">Hazard ratios for </w:t>
      </w:r>
      <w:r w:rsidR="00C303C3">
        <w:rPr>
          <w:rFonts w:ascii="Times New Roman" w:hAnsi="Times New Roman" w:hint="eastAsia"/>
          <w:b/>
          <w:color w:val="000000" w:themeColor="text1"/>
          <w:sz w:val="24"/>
          <w:szCs w:val="24"/>
        </w:rPr>
        <w:t>ESRD</w:t>
      </w:r>
      <w:r w:rsidR="00C303C3" w:rsidRPr="00FB3008">
        <w:rPr>
          <w:rFonts w:ascii="Times New Roman" w:hAnsi="Times New Roman" w:hint="eastAsia"/>
          <w:b/>
          <w:color w:val="000000" w:themeColor="text1"/>
          <w:sz w:val="24"/>
          <w:szCs w:val="24"/>
        </w:rPr>
        <w:t xml:space="preserve"> according to analytic method comparing </w:t>
      </w:r>
      <w:r w:rsidR="00346554">
        <w:rPr>
          <w:rFonts w:ascii="Times New Roman" w:hAnsi="Times New Roman" w:hint="eastAsia"/>
          <w:b/>
          <w:color w:val="000000" w:themeColor="text1"/>
          <w:sz w:val="24"/>
          <w:szCs w:val="24"/>
        </w:rPr>
        <w:t>ACEI or ARB</w:t>
      </w:r>
      <w:r w:rsidR="00C303C3" w:rsidRPr="00FB3008">
        <w:rPr>
          <w:rFonts w:ascii="Times New Roman" w:hAnsi="Times New Roman" w:hint="eastAsia"/>
          <w:b/>
          <w:color w:val="000000" w:themeColor="text1"/>
          <w:sz w:val="24"/>
          <w:szCs w:val="24"/>
        </w:rPr>
        <w:t xml:space="preserve"> user</w:t>
      </w:r>
      <w:r>
        <w:rPr>
          <w:rFonts w:ascii="Times New Roman" w:hAnsi="Times New Roman" w:hint="eastAsia"/>
          <w:b/>
          <w:color w:val="000000" w:themeColor="text1"/>
          <w:sz w:val="24"/>
          <w:szCs w:val="24"/>
        </w:rPr>
        <w:t>s</w:t>
      </w:r>
      <w:r w:rsidR="00C303C3" w:rsidRPr="00FB3008">
        <w:rPr>
          <w:rFonts w:ascii="Times New Roman" w:hAnsi="Times New Roman" w:hint="eastAsia"/>
          <w:b/>
          <w:color w:val="000000" w:themeColor="text1"/>
          <w:sz w:val="24"/>
          <w:szCs w:val="24"/>
        </w:rPr>
        <w:t xml:space="preserve"> vs</w:t>
      </w:r>
      <w:r w:rsidR="00C303C3">
        <w:rPr>
          <w:rFonts w:ascii="Times New Roman" w:hAnsi="Times New Roman" w:hint="eastAsia"/>
          <w:b/>
          <w:color w:val="000000" w:themeColor="text1"/>
          <w:sz w:val="24"/>
          <w:szCs w:val="24"/>
        </w:rPr>
        <w:t>.</w:t>
      </w:r>
      <w:r w:rsidR="00C303C3" w:rsidRPr="00FB3008">
        <w:rPr>
          <w:rFonts w:ascii="Times New Roman" w:hAnsi="Times New Roman" w:hint="eastAsia"/>
          <w:b/>
          <w:color w:val="000000" w:themeColor="text1"/>
          <w:sz w:val="24"/>
          <w:szCs w:val="24"/>
        </w:rPr>
        <w:t xml:space="preserve"> non-user</w:t>
      </w:r>
      <w:r>
        <w:rPr>
          <w:rFonts w:ascii="Times New Roman" w:hAnsi="Times New Roman" w:hint="eastAsia"/>
          <w:b/>
          <w:color w:val="000000" w:themeColor="text1"/>
          <w:sz w:val="24"/>
          <w:szCs w:val="24"/>
        </w:rPr>
        <w:t>s</w:t>
      </w:r>
      <w:r w:rsidR="00C303C3" w:rsidRPr="00FB3008">
        <w:rPr>
          <w:rFonts w:ascii="Times New Roman" w:hAnsi="Times New Roman" w:hint="eastAsia"/>
          <w:b/>
          <w:color w:val="000000" w:themeColor="text1"/>
          <w:sz w:val="24"/>
          <w:szCs w:val="24"/>
        </w:rPr>
        <w:t xml:space="preserve"> </w:t>
      </w:r>
      <w:r w:rsidR="00346554">
        <w:rPr>
          <w:rFonts w:ascii="Times New Roman" w:hAnsi="Times New Roman" w:hint="eastAsia"/>
          <w:b/>
          <w:color w:val="000000" w:themeColor="text1"/>
          <w:sz w:val="24"/>
          <w:szCs w:val="24"/>
        </w:rPr>
        <w:t>and ACEI+ARB user</w:t>
      </w:r>
      <w:r>
        <w:rPr>
          <w:rFonts w:ascii="Times New Roman" w:hAnsi="Times New Roman" w:hint="eastAsia"/>
          <w:b/>
          <w:color w:val="000000" w:themeColor="text1"/>
          <w:sz w:val="24"/>
          <w:szCs w:val="24"/>
        </w:rPr>
        <w:t>s</w:t>
      </w:r>
      <w:r w:rsidR="00346554">
        <w:rPr>
          <w:rFonts w:ascii="Times New Roman" w:hAnsi="Times New Roman" w:hint="eastAsia"/>
          <w:b/>
          <w:color w:val="000000" w:themeColor="text1"/>
          <w:sz w:val="24"/>
          <w:szCs w:val="24"/>
        </w:rPr>
        <w:t xml:space="preserve"> vs. non-user</w:t>
      </w:r>
      <w:r>
        <w:rPr>
          <w:rFonts w:ascii="Times New Roman" w:hAnsi="Times New Roman" w:hint="eastAsia"/>
          <w:b/>
          <w:color w:val="000000" w:themeColor="text1"/>
          <w:sz w:val="24"/>
          <w:szCs w:val="24"/>
        </w:rPr>
        <w:t>s</w:t>
      </w:r>
      <w:r w:rsidR="00346554">
        <w:rPr>
          <w:rFonts w:ascii="Times New Roman" w:hAnsi="Times New Roman" w:hint="eastAsia"/>
          <w:b/>
          <w:color w:val="000000" w:themeColor="text1"/>
          <w:sz w:val="24"/>
          <w:szCs w:val="24"/>
        </w:rPr>
        <w:t xml:space="preserve"> </w:t>
      </w: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9"/>
        <w:gridCol w:w="1973"/>
        <w:gridCol w:w="985"/>
        <w:gridCol w:w="1973"/>
        <w:gridCol w:w="985"/>
        <w:gridCol w:w="1973"/>
        <w:gridCol w:w="985"/>
      </w:tblGrid>
      <w:tr w:rsidR="00C303C3" w:rsidRPr="00FB3008" w:rsidTr="009E3722">
        <w:trPr>
          <w:trHeight w:val="340"/>
          <w:jc w:val="center"/>
        </w:trPr>
        <w:tc>
          <w:tcPr>
            <w:tcW w:w="1811" w:type="pct"/>
            <w:tcBorders>
              <w:top w:val="single" w:sz="4" w:space="0" w:color="auto"/>
            </w:tcBorders>
            <w:vAlign w:val="center"/>
          </w:tcPr>
          <w:p w:rsidR="00C303C3" w:rsidRPr="00A92E7E" w:rsidRDefault="00C303C3" w:rsidP="009E372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6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03C3" w:rsidRPr="00A92E7E" w:rsidRDefault="00C303C3" w:rsidP="009E372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N</w:t>
            </w:r>
            <w:r>
              <w:rPr>
                <w:rFonts w:ascii="Times New Roman" w:hAnsi="Times New Roman" w:hint="eastAsia"/>
                <w:color w:val="000000" w:themeColor="text1"/>
              </w:rPr>
              <w:t>on-user</w:t>
            </w:r>
          </w:p>
        </w:tc>
        <w:tc>
          <w:tcPr>
            <w:tcW w:w="106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03C3" w:rsidRPr="00A92E7E" w:rsidRDefault="00346554" w:rsidP="0034655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hint="eastAsia"/>
                <w:color w:val="000000" w:themeColor="text1"/>
              </w:rPr>
              <w:t>ACEI</w:t>
            </w:r>
            <w:r w:rsidR="00C303C3">
              <w:rPr>
                <w:rFonts w:ascii="Times New Roman" w:hAnsi="Times New Roman" w:hint="eastAsia"/>
                <w:color w:val="000000" w:themeColor="text1"/>
              </w:rPr>
              <w:t xml:space="preserve"> or A</w:t>
            </w:r>
            <w:r>
              <w:rPr>
                <w:rFonts w:ascii="Times New Roman" w:hAnsi="Times New Roman" w:hint="eastAsia"/>
                <w:color w:val="000000" w:themeColor="text1"/>
              </w:rPr>
              <w:t>RB</w:t>
            </w:r>
            <w:r w:rsidR="00C303C3">
              <w:rPr>
                <w:rFonts w:ascii="Times New Roman" w:hAnsi="Times New Roman" w:hint="eastAsia"/>
                <w:color w:val="000000" w:themeColor="text1"/>
              </w:rPr>
              <w:t xml:space="preserve"> user</w:t>
            </w:r>
          </w:p>
        </w:tc>
        <w:tc>
          <w:tcPr>
            <w:tcW w:w="106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03C3" w:rsidRPr="00A92E7E" w:rsidRDefault="00C303C3" w:rsidP="009E372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hint="eastAsia"/>
                <w:color w:val="000000" w:themeColor="text1"/>
              </w:rPr>
              <w:t>ACEI +ARB user</w:t>
            </w:r>
          </w:p>
        </w:tc>
      </w:tr>
      <w:tr w:rsidR="00C303C3" w:rsidRPr="00FB3008" w:rsidTr="009E3722">
        <w:trPr>
          <w:trHeight w:val="340"/>
          <w:jc w:val="center"/>
        </w:trPr>
        <w:tc>
          <w:tcPr>
            <w:tcW w:w="1811" w:type="pct"/>
            <w:tcBorders>
              <w:bottom w:val="single" w:sz="4" w:space="0" w:color="auto"/>
            </w:tcBorders>
            <w:vAlign w:val="center"/>
          </w:tcPr>
          <w:p w:rsidR="00C303C3" w:rsidRPr="00A92E7E" w:rsidRDefault="00C303C3" w:rsidP="009E372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03C3" w:rsidRPr="00A92E7E" w:rsidRDefault="00C303C3" w:rsidP="009E372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92E7E">
              <w:rPr>
                <w:rFonts w:ascii="Times New Roman" w:hAnsi="Times New Roman" w:hint="eastAsia"/>
                <w:color w:val="000000" w:themeColor="text1"/>
              </w:rPr>
              <w:t>HR (95% CI)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03C3" w:rsidRPr="00A92E7E" w:rsidRDefault="00C303C3" w:rsidP="009E372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92E7E">
              <w:rPr>
                <w:rFonts w:ascii="Times New Roman" w:hAnsi="Times New Roman" w:hint="eastAsia"/>
                <w:i/>
                <w:color w:val="000000" w:themeColor="text1"/>
              </w:rPr>
              <w:t xml:space="preserve">P </w:t>
            </w:r>
            <w:r w:rsidRPr="00A92E7E">
              <w:rPr>
                <w:rFonts w:ascii="Times New Roman" w:hAnsi="Times New Roman" w:hint="eastAsia"/>
                <w:color w:val="000000" w:themeColor="text1"/>
              </w:rPr>
              <w:t>value</w:t>
            </w: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03C3" w:rsidRPr="00A92E7E" w:rsidRDefault="00C303C3" w:rsidP="009E372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92E7E">
              <w:rPr>
                <w:rFonts w:ascii="Times New Roman" w:hAnsi="Times New Roman" w:hint="eastAsia"/>
                <w:color w:val="000000" w:themeColor="text1"/>
              </w:rPr>
              <w:t>HR (95% CI)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03C3" w:rsidRPr="00A92E7E" w:rsidRDefault="00C303C3" w:rsidP="009E372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92E7E">
              <w:rPr>
                <w:rFonts w:ascii="Times New Roman" w:hAnsi="Times New Roman" w:hint="eastAsia"/>
                <w:i/>
                <w:color w:val="000000" w:themeColor="text1"/>
              </w:rPr>
              <w:t xml:space="preserve">P </w:t>
            </w:r>
            <w:r w:rsidRPr="00A92E7E">
              <w:rPr>
                <w:rFonts w:ascii="Times New Roman" w:hAnsi="Times New Roman" w:hint="eastAsia"/>
                <w:color w:val="000000" w:themeColor="text1"/>
              </w:rPr>
              <w:t>value</w:t>
            </w: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03C3" w:rsidRPr="00A92E7E" w:rsidRDefault="00C303C3" w:rsidP="009E372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92E7E">
              <w:rPr>
                <w:rFonts w:ascii="Times New Roman" w:hAnsi="Times New Roman" w:hint="eastAsia"/>
                <w:color w:val="000000" w:themeColor="text1"/>
              </w:rPr>
              <w:t>HR (95% CI)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03C3" w:rsidRPr="00A92E7E" w:rsidRDefault="00C303C3" w:rsidP="009E372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92E7E">
              <w:rPr>
                <w:rFonts w:ascii="Times New Roman" w:hAnsi="Times New Roman" w:hint="eastAsia"/>
                <w:i/>
                <w:color w:val="000000" w:themeColor="text1"/>
              </w:rPr>
              <w:t xml:space="preserve">P </w:t>
            </w:r>
            <w:r w:rsidRPr="00A92E7E">
              <w:rPr>
                <w:rFonts w:ascii="Times New Roman" w:hAnsi="Times New Roman" w:hint="eastAsia"/>
                <w:color w:val="000000" w:themeColor="text1"/>
              </w:rPr>
              <w:t>value</w:t>
            </w:r>
          </w:p>
        </w:tc>
      </w:tr>
      <w:tr w:rsidR="00C303C3" w:rsidRPr="00FB3008" w:rsidTr="009E3722">
        <w:trPr>
          <w:trHeight w:val="340"/>
          <w:jc w:val="center"/>
        </w:trPr>
        <w:tc>
          <w:tcPr>
            <w:tcW w:w="1811" w:type="pct"/>
            <w:tcBorders>
              <w:top w:val="single" w:sz="4" w:space="0" w:color="auto"/>
            </w:tcBorders>
            <w:vAlign w:val="center"/>
          </w:tcPr>
          <w:p w:rsidR="00C303C3" w:rsidRPr="00A92E7E" w:rsidRDefault="00C303C3" w:rsidP="009E3722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A92E7E">
              <w:rPr>
                <w:rFonts w:ascii="Times New Roman" w:hAnsi="Times New Roman"/>
                <w:color w:val="000000" w:themeColor="text1"/>
              </w:rPr>
              <w:t>U</w:t>
            </w:r>
            <w:r w:rsidRPr="00A92E7E">
              <w:rPr>
                <w:rFonts w:ascii="Times New Roman" w:hAnsi="Times New Roman" w:hint="eastAsia"/>
                <w:color w:val="000000" w:themeColor="text1"/>
              </w:rPr>
              <w:t>nivariate</w:t>
            </w:r>
            <w:proofErr w:type="spellEnd"/>
            <w:r w:rsidRPr="00A92E7E">
              <w:rPr>
                <w:rFonts w:ascii="Times New Roman" w:hAnsi="Times New Roman" w:hint="eastAsia"/>
                <w:color w:val="000000" w:themeColor="text1"/>
              </w:rPr>
              <w:t xml:space="preserve"> Cox Model (n=2,076)</w:t>
            </w:r>
          </w:p>
        </w:tc>
        <w:tc>
          <w:tcPr>
            <w:tcW w:w="709" w:type="pct"/>
            <w:tcBorders>
              <w:top w:val="single" w:sz="4" w:space="0" w:color="auto"/>
            </w:tcBorders>
            <w:vAlign w:val="center"/>
          </w:tcPr>
          <w:p w:rsidR="00C303C3" w:rsidRPr="00A92E7E" w:rsidRDefault="00C303C3" w:rsidP="009E372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hint="eastAsia"/>
                <w:color w:val="000000" w:themeColor="text1"/>
              </w:rPr>
              <w:t>1.00</w:t>
            </w:r>
          </w:p>
        </w:tc>
        <w:tc>
          <w:tcPr>
            <w:tcW w:w="354" w:type="pct"/>
            <w:tcBorders>
              <w:top w:val="single" w:sz="4" w:space="0" w:color="auto"/>
            </w:tcBorders>
            <w:vAlign w:val="center"/>
          </w:tcPr>
          <w:p w:rsidR="00C303C3" w:rsidRPr="00A92E7E" w:rsidRDefault="00C303C3" w:rsidP="009E372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hint="eastAsia"/>
                <w:color w:val="000000" w:themeColor="text1"/>
              </w:rPr>
              <w:t>reference</w:t>
            </w:r>
          </w:p>
        </w:tc>
        <w:tc>
          <w:tcPr>
            <w:tcW w:w="709" w:type="pct"/>
            <w:tcBorders>
              <w:top w:val="single" w:sz="4" w:space="0" w:color="auto"/>
            </w:tcBorders>
            <w:vAlign w:val="center"/>
          </w:tcPr>
          <w:p w:rsidR="00C303C3" w:rsidRPr="00A92E7E" w:rsidRDefault="00C303C3" w:rsidP="009E372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hint="eastAsia"/>
                <w:color w:val="000000" w:themeColor="text1"/>
              </w:rPr>
              <w:t>2.239 (1.821-2.753)</w:t>
            </w:r>
          </w:p>
        </w:tc>
        <w:tc>
          <w:tcPr>
            <w:tcW w:w="354" w:type="pct"/>
            <w:tcBorders>
              <w:top w:val="single" w:sz="4" w:space="0" w:color="auto"/>
            </w:tcBorders>
            <w:vAlign w:val="center"/>
          </w:tcPr>
          <w:p w:rsidR="00C303C3" w:rsidRPr="00A92E7E" w:rsidRDefault="00C303C3" w:rsidP="009E372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hint="eastAsia"/>
                <w:color w:val="000000" w:themeColor="text1"/>
              </w:rPr>
              <w:t>&lt;0.001</w:t>
            </w:r>
          </w:p>
        </w:tc>
        <w:tc>
          <w:tcPr>
            <w:tcW w:w="709" w:type="pct"/>
            <w:tcBorders>
              <w:top w:val="single" w:sz="4" w:space="0" w:color="auto"/>
            </w:tcBorders>
            <w:vAlign w:val="center"/>
          </w:tcPr>
          <w:p w:rsidR="00C303C3" w:rsidRPr="00A92E7E" w:rsidRDefault="00C303C3" w:rsidP="009E372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hint="eastAsia"/>
                <w:color w:val="000000" w:themeColor="text1"/>
              </w:rPr>
              <w:t>2.160 (1.636-2.852)</w:t>
            </w:r>
          </w:p>
        </w:tc>
        <w:tc>
          <w:tcPr>
            <w:tcW w:w="354" w:type="pct"/>
            <w:tcBorders>
              <w:top w:val="single" w:sz="4" w:space="0" w:color="auto"/>
            </w:tcBorders>
            <w:vAlign w:val="center"/>
          </w:tcPr>
          <w:p w:rsidR="00C303C3" w:rsidRPr="00A92E7E" w:rsidRDefault="00C303C3" w:rsidP="009E372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hint="eastAsia"/>
                <w:color w:val="000000" w:themeColor="text1"/>
              </w:rPr>
              <w:t>&lt;0.001</w:t>
            </w:r>
          </w:p>
        </w:tc>
      </w:tr>
      <w:tr w:rsidR="00C303C3" w:rsidRPr="00FB3008" w:rsidTr="009E3722">
        <w:trPr>
          <w:trHeight w:val="340"/>
          <w:jc w:val="center"/>
        </w:trPr>
        <w:tc>
          <w:tcPr>
            <w:tcW w:w="1811" w:type="pct"/>
            <w:vAlign w:val="center"/>
          </w:tcPr>
          <w:p w:rsidR="00C303C3" w:rsidRPr="00A92E7E" w:rsidRDefault="00C303C3" w:rsidP="009E3722">
            <w:pPr>
              <w:rPr>
                <w:rFonts w:ascii="Times New Roman" w:hAnsi="Times New Roman"/>
                <w:color w:val="000000" w:themeColor="text1"/>
              </w:rPr>
            </w:pPr>
            <w:r w:rsidRPr="00A92E7E">
              <w:rPr>
                <w:rFonts w:ascii="Times New Roman" w:hAnsi="Times New Roman" w:hint="eastAsia"/>
                <w:color w:val="000000" w:themeColor="text1"/>
              </w:rPr>
              <w:t xml:space="preserve">Multivariate Cox </w:t>
            </w:r>
            <w:proofErr w:type="spellStart"/>
            <w:r w:rsidRPr="00A92E7E">
              <w:rPr>
                <w:rFonts w:ascii="Times New Roman" w:hAnsi="Times New Roman" w:hint="eastAsia"/>
                <w:color w:val="000000" w:themeColor="text1"/>
              </w:rPr>
              <w:t>Model</w:t>
            </w:r>
            <w:r w:rsidRPr="00A92E7E">
              <w:rPr>
                <w:rFonts w:ascii="Times New Roman" w:hAnsi="Times New Roman" w:hint="eastAsia"/>
                <w:color w:val="000000" w:themeColor="text1"/>
                <w:vertAlign w:val="superscript"/>
              </w:rPr>
              <w:t>a</w:t>
            </w:r>
            <w:proofErr w:type="spellEnd"/>
            <w:r w:rsidRPr="00A92E7E">
              <w:rPr>
                <w:rFonts w:ascii="Times New Roman" w:hAnsi="Times New Roman" w:hint="eastAsia"/>
                <w:color w:val="000000" w:themeColor="text1"/>
              </w:rPr>
              <w:t xml:space="preserve"> (n=2,076)</w:t>
            </w:r>
          </w:p>
        </w:tc>
        <w:tc>
          <w:tcPr>
            <w:tcW w:w="709" w:type="pct"/>
            <w:vAlign w:val="center"/>
          </w:tcPr>
          <w:p w:rsidR="00C303C3" w:rsidRPr="00A92E7E" w:rsidRDefault="00C303C3" w:rsidP="009E372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hint="eastAsia"/>
                <w:color w:val="000000" w:themeColor="text1"/>
              </w:rPr>
              <w:t>1.00</w:t>
            </w:r>
          </w:p>
        </w:tc>
        <w:tc>
          <w:tcPr>
            <w:tcW w:w="354" w:type="pct"/>
            <w:vAlign w:val="center"/>
          </w:tcPr>
          <w:p w:rsidR="00C303C3" w:rsidRPr="00A92E7E" w:rsidRDefault="00C303C3" w:rsidP="009E372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hint="eastAsia"/>
                <w:color w:val="000000" w:themeColor="text1"/>
              </w:rPr>
              <w:t>reference</w:t>
            </w:r>
          </w:p>
        </w:tc>
        <w:tc>
          <w:tcPr>
            <w:tcW w:w="709" w:type="pct"/>
            <w:vAlign w:val="center"/>
          </w:tcPr>
          <w:p w:rsidR="00C303C3" w:rsidRPr="00A92E7E" w:rsidRDefault="00C303C3" w:rsidP="009E372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hint="eastAsia"/>
                <w:color w:val="000000" w:themeColor="text1"/>
              </w:rPr>
              <w:t>1.434 (1.145-1.796)</w:t>
            </w:r>
          </w:p>
        </w:tc>
        <w:tc>
          <w:tcPr>
            <w:tcW w:w="354" w:type="pct"/>
            <w:vAlign w:val="center"/>
          </w:tcPr>
          <w:p w:rsidR="00C303C3" w:rsidRPr="00A92E7E" w:rsidRDefault="00C303C3" w:rsidP="009E372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hint="eastAsia"/>
                <w:color w:val="000000" w:themeColor="text1"/>
              </w:rPr>
              <w:t>0.002</w:t>
            </w:r>
          </w:p>
        </w:tc>
        <w:tc>
          <w:tcPr>
            <w:tcW w:w="709" w:type="pct"/>
            <w:vAlign w:val="center"/>
          </w:tcPr>
          <w:p w:rsidR="00C303C3" w:rsidRPr="00A92E7E" w:rsidRDefault="00C303C3" w:rsidP="009E372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hint="eastAsia"/>
                <w:color w:val="000000" w:themeColor="text1"/>
              </w:rPr>
              <w:t>1.034 (0.738-1.450)</w:t>
            </w:r>
          </w:p>
        </w:tc>
        <w:tc>
          <w:tcPr>
            <w:tcW w:w="354" w:type="pct"/>
            <w:vAlign w:val="center"/>
          </w:tcPr>
          <w:p w:rsidR="00C303C3" w:rsidRPr="00A92E7E" w:rsidRDefault="00C303C3" w:rsidP="009E372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hint="eastAsia"/>
                <w:color w:val="000000" w:themeColor="text1"/>
              </w:rPr>
              <w:t>0.846</w:t>
            </w:r>
          </w:p>
        </w:tc>
      </w:tr>
      <w:tr w:rsidR="00C303C3" w:rsidRPr="00FB3008" w:rsidTr="009E3722">
        <w:trPr>
          <w:trHeight w:val="340"/>
          <w:jc w:val="center"/>
        </w:trPr>
        <w:tc>
          <w:tcPr>
            <w:tcW w:w="1811" w:type="pct"/>
            <w:vAlign w:val="center"/>
          </w:tcPr>
          <w:p w:rsidR="00C303C3" w:rsidRPr="00A92E7E" w:rsidRDefault="00C303C3" w:rsidP="009E3722">
            <w:pPr>
              <w:rPr>
                <w:rFonts w:ascii="Times New Roman" w:hAnsi="Times New Roman"/>
                <w:color w:val="000000" w:themeColor="text1"/>
              </w:rPr>
            </w:pPr>
            <w:r w:rsidRPr="00A92E7E">
              <w:rPr>
                <w:rFonts w:ascii="Times New Roman" w:hAnsi="Times New Roman" w:hint="eastAsia"/>
                <w:color w:val="000000" w:themeColor="text1"/>
              </w:rPr>
              <w:t xml:space="preserve">Inverse probability of treatment </w:t>
            </w:r>
            <w:proofErr w:type="spellStart"/>
            <w:r w:rsidRPr="00A92E7E">
              <w:rPr>
                <w:rFonts w:ascii="Times New Roman" w:hAnsi="Times New Roman" w:hint="eastAsia"/>
                <w:color w:val="000000" w:themeColor="text1"/>
              </w:rPr>
              <w:t>weighting</w:t>
            </w:r>
            <w:r w:rsidRPr="00A92E7E">
              <w:rPr>
                <w:rFonts w:ascii="Times New Roman" w:hAnsi="Times New Roman" w:hint="eastAsia"/>
                <w:color w:val="000000" w:themeColor="text1"/>
                <w:vertAlign w:val="superscript"/>
              </w:rPr>
              <w:t>a</w:t>
            </w:r>
            <w:proofErr w:type="spellEnd"/>
            <w:r w:rsidRPr="00A92E7E">
              <w:rPr>
                <w:rFonts w:ascii="Times New Roman" w:hAnsi="Times New Roman" w:hint="eastAsia"/>
                <w:color w:val="000000" w:themeColor="text1"/>
              </w:rPr>
              <w:t xml:space="preserve"> (n=2,728)</w:t>
            </w:r>
          </w:p>
        </w:tc>
        <w:tc>
          <w:tcPr>
            <w:tcW w:w="709" w:type="pct"/>
            <w:vAlign w:val="center"/>
          </w:tcPr>
          <w:p w:rsidR="00C303C3" w:rsidRPr="00A92E7E" w:rsidRDefault="00C303C3" w:rsidP="009E372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hint="eastAsia"/>
                <w:color w:val="000000" w:themeColor="text1"/>
              </w:rPr>
              <w:t>1.00</w:t>
            </w:r>
          </w:p>
        </w:tc>
        <w:tc>
          <w:tcPr>
            <w:tcW w:w="354" w:type="pct"/>
            <w:vAlign w:val="center"/>
          </w:tcPr>
          <w:p w:rsidR="00C303C3" w:rsidRPr="00A92E7E" w:rsidRDefault="00C303C3" w:rsidP="009E372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hint="eastAsia"/>
                <w:color w:val="000000" w:themeColor="text1"/>
              </w:rPr>
              <w:t>reference</w:t>
            </w:r>
          </w:p>
        </w:tc>
        <w:tc>
          <w:tcPr>
            <w:tcW w:w="709" w:type="pct"/>
            <w:vAlign w:val="center"/>
          </w:tcPr>
          <w:p w:rsidR="00C303C3" w:rsidRPr="00A92E7E" w:rsidRDefault="00C303C3" w:rsidP="009E372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hint="eastAsia"/>
                <w:color w:val="000000" w:themeColor="text1"/>
              </w:rPr>
              <w:t>1.390 (1.190-1.624)</w:t>
            </w:r>
          </w:p>
        </w:tc>
        <w:tc>
          <w:tcPr>
            <w:tcW w:w="354" w:type="pct"/>
            <w:vAlign w:val="center"/>
          </w:tcPr>
          <w:p w:rsidR="00C303C3" w:rsidRPr="00A92E7E" w:rsidRDefault="00C303C3" w:rsidP="009E372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hint="eastAsia"/>
                <w:color w:val="000000" w:themeColor="text1"/>
              </w:rPr>
              <w:t>&lt;0.001</w:t>
            </w:r>
          </w:p>
        </w:tc>
        <w:tc>
          <w:tcPr>
            <w:tcW w:w="709" w:type="pct"/>
            <w:vAlign w:val="center"/>
          </w:tcPr>
          <w:p w:rsidR="00C303C3" w:rsidRPr="00A92E7E" w:rsidRDefault="00C303C3" w:rsidP="009E372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hint="eastAsia"/>
                <w:color w:val="000000" w:themeColor="text1"/>
              </w:rPr>
              <w:t>0.973 (0.764-1.240)</w:t>
            </w:r>
          </w:p>
        </w:tc>
        <w:tc>
          <w:tcPr>
            <w:tcW w:w="354" w:type="pct"/>
            <w:vAlign w:val="center"/>
          </w:tcPr>
          <w:p w:rsidR="00C303C3" w:rsidRPr="00A92E7E" w:rsidRDefault="00C303C3" w:rsidP="009E372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hint="eastAsia"/>
                <w:color w:val="000000" w:themeColor="text1"/>
              </w:rPr>
              <w:t>0.826</w:t>
            </w:r>
          </w:p>
        </w:tc>
      </w:tr>
      <w:tr w:rsidR="00C303C3" w:rsidRPr="00FB3008" w:rsidTr="009E3722">
        <w:trPr>
          <w:trHeight w:val="340"/>
          <w:jc w:val="center"/>
        </w:trPr>
        <w:tc>
          <w:tcPr>
            <w:tcW w:w="1811" w:type="pct"/>
            <w:tcBorders>
              <w:bottom w:val="single" w:sz="4" w:space="0" w:color="auto"/>
            </w:tcBorders>
            <w:vAlign w:val="center"/>
          </w:tcPr>
          <w:p w:rsidR="00C303C3" w:rsidRPr="00A92E7E" w:rsidRDefault="00C303C3" w:rsidP="009E3722">
            <w:pPr>
              <w:rPr>
                <w:rFonts w:ascii="Times New Roman" w:hAnsi="Times New Roman"/>
                <w:color w:val="000000" w:themeColor="text1"/>
              </w:rPr>
            </w:pPr>
            <w:r w:rsidRPr="00A92E7E">
              <w:rPr>
                <w:rFonts w:ascii="Times New Roman" w:hAnsi="Times New Roman" w:hint="eastAsia"/>
                <w:color w:val="000000" w:themeColor="text1"/>
              </w:rPr>
              <w:t xml:space="preserve">Propensity score </w:t>
            </w:r>
            <w:proofErr w:type="spellStart"/>
            <w:r w:rsidRPr="00A92E7E">
              <w:rPr>
                <w:rFonts w:ascii="Times New Roman" w:hAnsi="Times New Roman" w:hint="eastAsia"/>
                <w:color w:val="000000" w:themeColor="text1"/>
              </w:rPr>
              <w:t>matching</w:t>
            </w:r>
            <w:r w:rsidRPr="00A92E7E">
              <w:rPr>
                <w:rFonts w:ascii="Times New Roman" w:hAnsi="Times New Roman" w:hint="eastAsia"/>
                <w:color w:val="000000" w:themeColor="text1"/>
                <w:vertAlign w:val="superscript"/>
              </w:rPr>
              <w:t>a</w:t>
            </w:r>
            <w:proofErr w:type="spellEnd"/>
            <w:r w:rsidRPr="00A92E7E">
              <w:rPr>
                <w:rFonts w:ascii="Times New Roman" w:hAnsi="Times New Roman" w:hint="eastAsia"/>
                <w:color w:val="000000" w:themeColor="text1"/>
              </w:rPr>
              <w:t xml:space="preserve"> (n=980)</w:t>
            </w:r>
          </w:p>
        </w:tc>
        <w:tc>
          <w:tcPr>
            <w:tcW w:w="709" w:type="pct"/>
            <w:tcBorders>
              <w:bottom w:val="single" w:sz="4" w:space="0" w:color="auto"/>
            </w:tcBorders>
            <w:vAlign w:val="center"/>
          </w:tcPr>
          <w:p w:rsidR="00C303C3" w:rsidRPr="00A92E7E" w:rsidRDefault="00C303C3" w:rsidP="009E372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hint="eastAsia"/>
                <w:color w:val="000000" w:themeColor="text1"/>
              </w:rPr>
              <w:t>1.00</w:t>
            </w:r>
          </w:p>
        </w:tc>
        <w:tc>
          <w:tcPr>
            <w:tcW w:w="354" w:type="pct"/>
            <w:tcBorders>
              <w:bottom w:val="single" w:sz="4" w:space="0" w:color="auto"/>
            </w:tcBorders>
            <w:vAlign w:val="center"/>
          </w:tcPr>
          <w:p w:rsidR="00C303C3" w:rsidRPr="00A92E7E" w:rsidRDefault="00C303C3" w:rsidP="009E372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hint="eastAsia"/>
                <w:color w:val="000000" w:themeColor="text1"/>
              </w:rPr>
              <w:t>reference</w:t>
            </w:r>
          </w:p>
        </w:tc>
        <w:tc>
          <w:tcPr>
            <w:tcW w:w="709" w:type="pct"/>
            <w:tcBorders>
              <w:bottom w:val="single" w:sz="4" w:space="0" w:color="auto"/>
            </w:tcBorders>
            <w:vAlign w:val="center"/>
          </w:tcPr>
          <w:p w:rsidR="00C303C3" w:rsidRPr="00A92E7E" w:rsidRDefault="00C303C3" w:rsidP="009E372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hint="eastAsia"/>
                <w:color w:val="000000" w:themeColor="text1"/>
              </w:rPr>
              <w:t>1.469 (1.126-1.917)</w:t>
            </w:r>
          </w:p>
        </w:tc>
        <w:tc>
          <w:tcPr>
            <w:tcW w:w="354" w:type="pct"/>
            <w:tcBorders>
              <w:bottom w:val="single" w:sz="4" w:space="0" w:color="auto"/>
            </w:tcBorders>
            <w:vAlign w:val="center"/>
          </w:tcPr>
          <w:p w:rsidR="00C303C3" w:rsidRPr="00A92E7E" w:rsidRDefault="00C303C3" w:rsidP="009E372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hint="eastAsia"/>
                <w:color w:val="000000" w:themeColor="text1"/>
              </w:rPr>
              <w:t>0.005</w:t>
            </w:r>
          </w:p>
        </w:tc>
        <w:tc>
          <w:tcPr>
            <w:tcW w:w="709" w:type="pct"/>
            <w:tcBorders>
              <w:bottom w:val="single" w:sz="4" w:space="0" w:color="auto"/>
            </w:tcBorders>
            <w:vAlign w:val="center"/>
          </w:tcPr>
          <w:p w:rsidR="00C303C3" w:rsidRPr="00A92E7E" w:rsidRDefault="00C303C3" w:rsidP="009E372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hint="eastAsia"/>
                <w:color w:val="000000" w:themeColor="text1"/>
              </w:rPr>
              <w:t>1.092 (0.699-1.7070)</w:t>
            </w:r>
          </w:p>
        </w:tc>
        <w:tc>
          <w:tcPr>
            <w:tcW w:w="354" w:type="pct"/>
            <w:tcBorders>
              <w:bottom w:val="single" w:sz="4" w:space="0" w:color="auto"/>
            </w:tcBorders>
            <w:vAlign w:val="center"/>
          </w:tcPr>
          <w:p w:rsidR="00C303C3" w:rsidRPr="00A92E7E" w:rsidRDefault="00C303C3" w:rsidP="009E372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hint="eastAsia"/>
                <w:color w:val="000000" w:themeColor="text1"/>
              </w:rPr>
              <w:t>0.699</w:t>
            </w:r>
          </w:p>
        </w:tc>
      </w:tr>
    </w:tbl>
    <w:p w:rsidR="00C303C3" w:rsidRPr="00A92E7E" w:rsidRDefault="00C303C3" w:rsidP="00C303C3">
      <w:pPr>
        <w:rPr>
          <w:rFonts w:ascii="Times New Roman" w:hAnsi="Times New Roman"/>
          <w:color w:val="000000" w:themeColor="text1"/>
          <w:sz w:val="22"/>
        </w:rPr>
      </w:pPr>
      <w:proofErr w:type="spellStart"/>
      <w:r w:rsidRPr="00A92E7E">
        <w:rPr>
          <w:rFonts w:ascii="Times New Roman" w:hAnsi="Times New Roman" w:hint="eastAsia"/>
          <w:color w:val="000000" w:themeColor="text1"/>
          <w:sz w:val="22"/>
          <w:vertAlign w:val="superscript"/>
        </w:rPr>
        <w:t>a</w:t>
      </w:r>
      <w:proofErr w:type="spellEnd"/>
      <w:r w:rsidRPr="00A92E7E">
        <w:rPr>
          <w:rFonts w:ascii="Times New Roman" w:hAnsi="Times New Roman" w:hint="eastAsia"/>
          <w:color w:val="000000" w:themeColor="text1"/>
          <w:sz w:val="22"/>
          <w:vertAlign w:val="superscript"/>
        </w:rPr>
        <w:t xml:space="preserve"> </w:t>
      </w:r>
      <w:r w:rsidRPr="00A92E7E">
        <w:rPr>
          <w:rFonts w:ascii="Times New Roman" w:hAnsi="Times New Roman"/>
          <w:color w:val="000000" w:themeColor="text1"/>
          <w:sz w:val="22"/>
        </w:rPr>
        <w:t>A</w:t>
      </w:r>
      <w:r w:rsidRPr="00A92E7E">
        <w:rPr>
          <w:rFonts w:ascii="Times New Roman" w:hAnsi="Times New Roman" w:hint="eastAsia"/>
          <w:color w:val="000000" w:themeColor="text1"/>
          <w:sz w:val="22"/>
        </w:rPr>
        <w:t xml:space="preserve">djusted for age, sex, nephrologist visit, diabetes, hypertension, cardiovascular disease, estimated glomerular </w:t>
      </w:r>
      <w:r w:rsidRPr="00A92E7E">
        <w:rPr>
          <w:rFonts w:ascii="Times New Roman" w:hAnsi="Times New Roman"/>
          <w:color w:val="000000" w:themeColor="text1"/>
          <w:sz w:val="22"/>
        </w:rPr>
        <w:t>filtration</w:t>
      </w:r>
      <w:r w:rsidRPr="00A92E7E">
        <w:rPr>
          <w:rFonts w:ascii="Times New Roman" w:hAnsi="Times New Roman" w:hint="eastAsia"/>
          <w:color w:val="000000" w:themeColor="text1"/>
          <w:sz w:val="22"/>
        </w:rPr>
        <w:t xml:space="preserve"> rate</w:t>
      </w:r>
      <w:r w:rsidRPr="00A92E7E">
        <w:rPr>
          <w:rFonts w:ascii="Times New Roman" w:hAnsi="Times New Roman"/>
          <w:color w:val="000000" w:themeColor="text1"/>
          <w:sz w:val="22"/>
        </w:rPr>
        <w:t>,</w:t>
      </w:r>
      <w:r>
        <w:rPr>
          <w:rFonts w:ascii="Times New Roman" w:hAnsi="Times New Roman" w:hint="eastAsia"/>
          <w:color w:val="000000" w:themeColor="text1"/>
          <w:sz w:val="22"/>
        </w:rPr>
        <w:t xml:space="preserve"> protei</w:t>
      </w:r>
      <w:r w:rsidRPr="00A92E7E">
        <w:rPr>
          <w:rFonts w:ascii="Times New Roman" w:hAnsi="Times New Roman" w:hint="eastAsia"/>
          <w:color w:val="000000" w:themeColor="text1"/>
          <w:sz w:val="22"/>
        </w:rPr>
        <w:t xml:space="preserve">nuria, serum hemoglobin, albumin, calcium, </w:t>
      </w:r>
      <w:proofErr w:type="spellStart"/>
      <w:r w:rsidRPr="00A92E7E">
        <w:rPr>
          <w:rFonts w:ascii="Times New Roman" w:hAnsi="Times New Roman" w:hint="eastAsia"/>
          <w:color w:val="000000" w:themeColor="text1"/>
          <w:sz w:val="22"/>
        </w:rPr>
        <w:t>phosphours</w:t>
      </w:r>
      <w:proofErr w:type="spellEnd"/>
      <w:r w:rsidRPr="00A92E7E">
        <w:rPr>
          <w:rFonts w:ascii="Times New Roman" w:hAnsi="Times New Roman" w:hint="eastAsia"/>
          <w:color w:val="000000" w:themeColor="text1"/>
          <w:sz w:val="22"/>
        </w:rPr>
        <w:t xml:space="preserve">, use of beta-blocker, calcium channel blocker, diuretics, statin. </w:t>
      </w:r>
    </w:p>
    <w:p w:rsidR="00346554" w:rsidRPr="00F9063E" w:rsidRDefault="00C303C3" w:rsidP="00C303C3">
      <w:pPr>
        <w:rPr>
          <w:rFonts w:ascii="Times New Roman" w:hAnsi="Times New Roman"/>
          <w:color w:val="000000" w:themeColor="text1"/>
          <w:sz w:val="22"/>
        </w:rPr>
      </w:pPr>
      <w:r w:rsidRPr="00A92E7E">
        <w:rPr>
          <w:rFonts w:ascii="Times New Roman" w:hAnsi="Times New Roman" w:hint="eastAsia"/>
          <w:color w:val="000000" w:themeColor="text1"/>
          <w:sz w:val="22"/>
        </w:rPr>
        <w:t xml:space="preserve">ESRD, end stage renal disease; HR, hazard ratio; 95% CI, 95% confidential interval. </w:t>
      </w:r>
      <w:bookmarkStart w:id="0" w:name="_GoBack"/>
      <w:bookmarkEnd w:id="0"/>
    </w:p>
    <w:sectPr w:rsidR="00346554" w:rsidRPr="00F9063E" w:rsidSect="00C303C3">
      <w:pgSz w:w="16838" w:h="11906" w:orient="landscape"/>
      <w:pgMar w:top="1440" w:right="1440" w:bottom="1440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AFE" w:rsidRDefault="002D6AFE" w:rsidP="002D6AFE">
      <w:r>
        <w:separator/>
      </w:r>
    </w:p>
  </w:endnote>
  <w:endnote w:type="continuationSeparator" w:id="0">
    <w:p w:rsidR="002D6AFE" w:rsidRDefault="002D6AFE" w:rsidP="002D6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AFE" w:rsidRDefault="002D6AFE" w:rsidP="002D6AFE">
      <w:r>
        <w:separator/>
      </w:r>
    </w:p>
  </w:footnote>
  <w:footnote w:type="continuationSeparator" w:id="0">
    <w:p w:rsidR="002D6AFE" w:rsidRDefault="002D6AFE" w:rsidP="002D6A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C3"/>
    <w:rsid w:val="00202CE8"/>
    <w:rsid w:val="002D6AFE"/>
    <w:rsid w:val="00346554"/>
    <w:rsid w:val="00364F86"/>
    <w:rsid w:val="0050173E"/>
    <w:rsid w:val="00521CAC"/>
    <w:rsid w:val="00892042"/>
    <w:rsid w:val="00C303C3"/>
    <w:rsid w:val="00E925CC"/>
    <w:rsid w:val="00F9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554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3C3"/>
    <w:pPr>
      <w:spacing w:after="0" w:line="240" w:lineRule="auto"/>
      <w:jc w:val="left"/>
    </w:pPr>
    <w:rPr>
      <w:rFonts w:ascii="맑은 고딕" w:eastAsia="맑은 고딕" w:hAnsi="맑은 고딕" w:cs="Times New Roman"/>
      <w:kern w:val="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D6AF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2D6AFE"/>
    <w:rPr>
      <w:rFonts w:ascii="맑은 고딕" w:eastAsia="맑은 고딕" w:hAnsi="맑은 고딕" w:cs="Times New Roman"/>
    </w:rPr>
  </w:style>
  <w:style w:type="paragraph" w:styleId="a5">
    <w:name w:val="footer"/>
    <w:basedOn w:val="a"/>
    <w:link w:val="Char0"/>
    <w:uiPriority w:val="99"/>
    <w:unhideWhenUsed/>
    <w:rsid w:val="002D6AF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2D6AFE"/>
    <w:rPr>
      <w:rFonts w:ascii="맑은 고딕" w:eastAsia="맑은 고딕" w:hAnsi="맑은 고딕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554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3C3"/>
    <w:pPr>
      <w:spacing w:after="0" w:line="240" w:lineRule="auto"/>
      <w:jc w:val="left"/>
    </w:pPr>
    <w:rPr>
      <w:rFonts w:ascii="맑은 고딕" w:eastAsia="맑은 고딕" w:hAnsi="맑은 고딕" w:cs="Times New Roman"/>
      <w:kern w:val="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D6AF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2D6AFE"/>
    <w:rPr>
      <w:rFonts w:ascii="맑은 고딕" w:eastAsia="맑은 고딕" w:hAnsi="맑은 고딕" w:cs="Times New Roman"/>
    </w:rPr>
  </w:style>
  <w:style w:type="paragraph" w:styleId="a5">
    <w:name w:val="footer"/>
    <w:basedOn w:val="a"/>
    <w:link w:val="Char0"/>
    <w:uiPriority w:val="99"/>
    <w:unhideWhenUsed/>
    <w:rsid w:val="002D6AF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2D6AFE"/>
    <w:rPr>
      <w:rFonts w:ascii="맑은 고딕" w:eastAsia="맑은 고딕" w:hAnsi="맑은 고딕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Yun Jung Oh</cp:lastModifiedBy>
  <cp:revision>2</cp:revision>
  <dcterms:created xsi:type="dcterms:W3CDTF">2017-01-17T23:19:00Z</dcterms:created>
  <dcterms:modified xsi:type="dcterms:W3CDTF">2017-01-17T23:19:00Z</dcterms:modified>
</cp:coreProperties>
</file>