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37" w:rsidRDefault="00FA4D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63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proofErr w:type="spellStart"/>
      <w:r w:rsidRPr="00E2636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55C9B" w:rsidRPr="00E2636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spellEnd"/>
      <w:r w:rsidRPr="00E263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6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636A" w:rsidRPr="00E2636A">
        <w:rPr>
          <w:rFonts w:ascii="Times New Roman" w:hAnsi="Times New Roman" w:cs="Times New Roman"/>
          <w:sz w:val="24"/>
          <w:szCs w:val="24"/>
          <w:lang w:val="en-US"/>
        </w:rPr>
        <w:t>Univariate analysis for first episode of OM</w:t>
      </w:r>
    </w:p>
    <w:p w:rsidR="00E2636A" w:rsidRPr="00AD37F0" w:rsidRDefault="00E2636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08"/>
        <w:gridCol w:w="567"/>
        <w:gridCol w:w="709"/>
        <w:gridCol w:w="567"/>
        <w:gridCol w:w="709"/>
        <w:gridCol w:w="567"/>
        <w:gridCol w:w="850"/>
        <w:gridCol w:w="709"/>
        <w:gridCol w:w="709"/>
        <w:gridCol w:w="709"/>
        <w:gridCol w:w="713"/>
      </w:tblGrid>
      <w:tr w:rsidR="00E2636A" w:rsidRPr="00855C9B" w:rsidTr="00E2636A">
        <w:trPr>
          <w:cantSplit/>
          <w:tblHeader/>
          <w:jc w:val="center"/>
        </w:trPr>
        <w:tc>
          <w:tcPr>
            <w:tcW w:w="2689" w:type="dxa"/>
            <w:vMerge w:val="restart"/>
            <w:shd w:val="clear" w:color="auto" w:fill="FFFFFF"/>
            <w:vAlign w:val="center"/>
          </w:tcPr>
          <w:p w:rsidR="00FA4D37" w:rsidRPr="00E2636A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0080FF"/>
          </w:tcPr>
          <w:p w:rsidR="00FA4D37" w:rsidRPr="00855C9B" w:rsidRDefault="00FA4D37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Total (</w:t>
            </w:r>
            <w:r w:rsidR="00855C9B"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n</w:t>
            </w:r>
            <w:r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=521)</w:t>
            </w:r>
          </w:p>
        </w:tc>
        <w:tc>
          <w:tcPr>
            <w:tcW w:w="1276" w:type="dxa"/>
            <w:gridSpan w:val="2"/>
            <w:shd w:val="clear" w:color="auto" w:fill="0080FF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N</w:t>
            </w:r>
            <w:r w:rsidR="00855C9B"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O</w:t>
            </w:r>
          </w:p>
          <w:p w:rsidR="00FA4D37" w:rsidRPr="00855C9B" w:rsidRDefault="00FA4D37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(</w:t>
            </w:r>
            <w:r w:rsidR="00855C9B"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n</w:t>
            </w:r>
            <w:r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=347)</w:t>
            </w:r>
          </w:p>
        </w:tc>
        <w:tc>
          <w:tcPr>
            <w:tcW w:w="1276" w:type="dxa"/>
            <w:gridSpan w:val="2"/>
            <w:shd w:val="clear" w:color="auto" w:fill="0080FF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YES</w:t>
            </w:r>
          </w:p>
          <w:p w:rsidR="00FA4D37" w:rsidRPr="00855C9B" w:rsidRDefault="00FA4D37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(</w:t>
            </w:r>
            <w:r w:rsidR="00855C9B"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n</w:t>
            </w:r>
            <w:r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=174)</w:t>
            </w:r>
          </w:p>
        </w:tc>
        <w:tc>
          <w:tcPr>
            <w:tcW w:w="850" w:type="dxa"/>
            <w:vMerge w:val="restart"/>
            <w:shd w:val="clear" w:color="auto" w:fill="0080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B</w:t>
            </w:r>
          </w:p>
        </w:tc>
        <w:tc>
          <w:tcPr>
            <w:tcW w:w="709" w:type="dxa"/>
            <w:vMerge w:val="restart"/>
            <w:shd w:val="clear" w:color="auto" w:fill="0080FF"/>
            <w:vAlign w:val="center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0080FF"/>
            <w:vAlign w:val="center"/>
          </w:tcPr>
          <w:p w:rsidR="00FA4D37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vertAlign w:val="subscript"/>
              </w:rPr>
            </w:pPr>
            <w:proofErr w:type="spellStart"/>
            <w:r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OR</w:t>
            </w:r>
            <w:proofErr w:type="spellEnd"/>
          </w:p>
        </w:tc>
        <w:tc>
          <w:tcPr>
            <w:tcW w:w="1422" w:type="dxa"/>
            <w:gridSpan w:val="2"/>
            <w:shd w:val="clear" w:color="auto" w:fill="0080FF"/>
            <w:vAlign w:val="center"/>
          </w:tcPr>
          <w:p w:rsidR="00FA4D37" w:rsidRPr="00855C9B" w:rsidRDefault="00855C9B" w:rsidP="00351D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vertAlign w:val="subscript"/>
              </w:rPr>
            </w:pPr>
            <w:r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95%</w:t>
            </w:r>
            <w:bookmarkStart w:id="0" w:name="_GoBack"/>
            <w:bookmarkEnd w:id="0"/>
            <w:r w:rsidR="00351D11"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CI</w:t>
            </w: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vMerge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0080FF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0080FF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0080FF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0080FF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0080FF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0080FF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850" w:type="dxa"/>
            <w:vMerge/>
            <w:shd w:val="clear" w:color="auto" w:fill="0080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0080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0080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80FF"/>
            <w:vAlign w:val="center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proofErr w:type="spellStart"/>
            <w:r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Lowe</w:t>
            </w:r>
            <w:r w:rsidR="00FA4D37"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713" w:type="dxa"/>
            <w:shd w:val="clear" w:color="auto" w:fill="0080FF"/>
            <w:vAlign w:val="center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proofErr w:type="spellStart"/>
            <w:r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Uppe</w:t>
            </w:r>
            <w:r w:rsidR="00FA4D37" w:rsidRPr="00855C9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r</w:t>
            </w:r>
            <w:proofErr w:type="spellEnd"/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FA4D37" w:rsidRPr="00855C9B" w:rsidRDefault="00FA4D37" w:rsidP="00855C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&gt;60 </w:t>
            </w:r>
            <w:proofErr w:type="spellStart"/>
            <w:r w:rsidRPr="00855C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855C9B" w:rsidRPr="00855C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onths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AD37F0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FA4D37" w:rsidRPr="00855C9B" w:rsidRDefault="00FA4D37" w:rsidP="00855C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&lt; 24 </w:t>
            </w:r>
            <w:proofErr w:type="spellStart"/>
            <w:r w:rsidRPr="00855C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855C9B" w:rsidRPr="00855C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onths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AD37F0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</w:t>
            </w: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FA4D37" w:rsidRPr="00855C9B" w:rsidRDefault="00FA4D37" w:rsidP="00855C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24-60 </w:t>
            </w:r>
            <w:proofErr w:type="spellStart"/>
            <w:r w:rsidRPr="00855C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855C9B" w:rsidRPr="00855C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onths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AD37F0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</w:t>
            </w: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Premature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AD37F0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855C9B" w:rsidRPr="007D18A5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Common cold (previous 15 days)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C9B" w:rsidRPr="00AD37F0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0.892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1.938</w:t>
            </w: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855C9B" w:rsidRPr="007D18A5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Day care attendance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C9B" w:rsidRPr="00AD37F0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0.627</w:t>
            </w: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855C9B" w:rsidRPr="007D18A5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Hospitalization (previous 3 months)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5.7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C9B" w:rsidRPr="00AD37F0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0.839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5.035</w:t>
            </w: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855C9B" w:rsidRPr="007D18A5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Antibiotic treatment (previous 30 days)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23.6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31.5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7.7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C9B" w:rsidRPr="00AD37F0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0.336</w:t>
            </w: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855C9B" w:rsidRPr="007D18A5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 pneumococcal vaccination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22.8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32.8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C9B" w:rsidRPr="00AD37F0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855C9B" w:rsidRPr="007D18A5" w:rsidRDefault="00855C9B" w:rsidP="00855C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279" w:right="60" w:hanging="14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At least one </w:t>
            </w:r>
            <w:proofErr w:type="spellStart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PCV7</w:t>
            </w:r>
            <w:proofErr w:type="spellEnd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dose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17.3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10.9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C9B" w:rsidRPr="00AD37F0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0.814</w:t>
            </w: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855C9B" w:rsidRPr="007D18A5" w:rsidRDefault="00855C9B" w:rsidP="00855C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279" w:right="60" w:hanging="14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At least one </w:t>
            </w:r>
            <w:proofErr w:type="spellStart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PCV10</w:t>
            </w:r>
            <w:proofErr w:type="spellEnd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dose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.6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C9B" w:rsidRPr="00AD37F0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1.424</w:t>
            </w: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855C9B" w:rsidRPr="007D18A5" w:rsidRDefault="00855C9B" w:rsidP="00855C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279" w:right="60" w:hanging="14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At least one </w:t>
            </w:r>
            <w:proofErr w:type="spellStart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PCV13</w:t>
            </w:r>
            <w:proofErr w:type="spellEnd"/>
            <w:r w:rsidRPr="007D1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dose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57.0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57.6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55.7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C9B" w:rsidRPr="00AD37F0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1.021</w:t>
            </w: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FA4D37" w:rsidRPr="00855C9B" w:rsidRDefault="00855C9B" w:rsidP="001F680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Isolate</w:t>
            </w:r>
            <w:proofErr w:type="spellEnd"/>
            <w:r w:rsidR="001F68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68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AD37F0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FA4D37" w:rsidRPr="001F6807" w:rsidRDefault="00FA4D37" w:rsidP="001F68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421" w:right="60" w:hanging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F680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S</w:t>
            </w:r>
            <w:r w:rsidR="001F6807" w:rsidRPr="001F680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1F6807" w:rsidRPr="001F680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AD37F0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FA4D37" w:rsidRPr="001F6807" w:rsidRDefault="00FA4D37" w:rsidP="001F68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421" w:right="60" w:hanging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F680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H</w:t>
            </w:r>
            <w:r w:rsidR="001F6807" w:rsidRPr="001F680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 influenzae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A4D37" w:rsidRPr="00855C9B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 w:rsidR="00855C9B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AD37F0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FA4D37" w:rsidRPr="00855C9B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FA4D37"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</w:tr>
      <w:tr w:rsidR="00855C9B" w:rsidRPr="001F6807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FA4D37" w:rsidRPr="001F6807" w:rsidRDefault="00FA4D37" w:rsidP="001F68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421" w:right="60" w:hanging="142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S</w:t>
            </w:r>
            <w:r w:rsidR="001F6807" w:rsidRPr="001F680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. pneumoniae </w:t>
            </w:r>
            <w:r w:rsidRPr="001F680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+</w:t>
            </w:r>
            <w:r w:rsidR="001F6807" w:rsidRPr="001F680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1F680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H</w:t>
            </w:r>
            <w:r w:rsidR="001F6807" w:rsidRPr="001F680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. influenzae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A4D37" w:rsidRPr="001F6807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1F6807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  <w:r w:rsidR="00855C9B"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1F6807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1F6807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  <w:r w:rsidR="00855C9B"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1F6807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D37" w:rsidRPr="001F6807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  <w:r w:rsidR="00855C9B"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A4D37" w:rsidRPr="001F6807" w:rsidRDefault="00FA4D37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="00855C9B"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D37" w:rsidRPr="00AD37F0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FA4D37" w:rsidRPr="00AD37F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1F6807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FA4D37"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4D37" w:rsidRPr="001F6807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FA4D37"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FA4D37" w:rsidRPr="001F6807" w:rsidRDefault="00855C9B" w:rsidP="00BE1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FA4D37"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864</w:t>
            </w:r>
          </w:p>
        </w:tc>
      </w:tr>
      <w:tr w:rsidR="00855C9B" w:rsidRPr="001F6807" w:rsidTr="00E2636A">
        <w:trPr>
          <w:cantSplit/>
          <w:tblHeader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855C9B" w:rsidRPr="001F6807" w:rsidRDefault="00855C9B" w:rsidP="00855C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421" w:right="60" w:hanging="14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55C9B" w:rsidRPr="001F6807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1F6807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35.9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1F6807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1F6807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32.6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1F6807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C9B" w:rsidRPr="001F6807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42.5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5C9B" w:rsidRPr="001F6807" w:rsidRDefault="00855C9B" w:rsidP="008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C9B" w:rsidRPr="00AD37F0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1F6807" w:rsidRDefault="00855C9B" w:rsidP="008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55C9B" w:rsidRPr="001F6807" w:rsidRDefault="00855C9B" w:rsidP="008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855C9B" w:rsidRPr="001F6807" w:rsidRDefault="00855C9B" w:rsidP="008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5C9B" w:rsidRPr="00855C9B" w:rsidTr="00E2636A">
        <w:trPr>
          <w:cantSplit/>
          <w:tblHeader/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68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Isolate from </w:t>
            </w:r>
            <w:proofErr w:type="spellStart"/>
            <w:r w:rsidRPr="001F68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nasoph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arynx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9B" w:rsidRPr="00AD37F0" w:rsidRDefault="00855C9B" w:rsidP="00855C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855C9B" w:rsidP="008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807" w:rsidRPr="00855C9B" w:rsidTr="00E2636A">
        <w:trPr>
          <w:cantSplit/>
          <w:tblHeader/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6807" w:rsidRPr="001F6807" w:rsidRDefault="001F6807" w:rsidP="001F68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421" w:right="60" w:hanging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F680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1F680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24.2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30.5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07" w:rsidRPr="00AD37F0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2.338</w:t>
            </w:r>
          </w:p>
        </w:tc>
      </w:tr>
      <w:tr w:rsidR="001F6807" w:rsidRPr="00855C9B" w:rsidTr="00E2636A">
        <w:trPr>
          <w:cantSplit/>
          <w:tblHeader/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6807" w:rsidRPr="001F6807" w:rsidRDefault="001F6807" w:rsidP="001F68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421" w:right="60" w:hanging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F680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H. influenzae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15.5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07" w:rsidRPr="00AD37F0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1.953</w:t>
            </w:r>
          </w:p>
        </w:tc>
      </w:tr>
      <w:tr w:rsidR="001F6807" w:rsidRPr="00855C9B" w:rsidTr="00E2636A">
        <w:trPr>
          <w:cantSplit/>
          <w:tblHeader/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6807" w:rsidRPr="001F6807" w:rsidRDefault="001F6807" w:rsidP="001F68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421" w:right="60" w:hanging="142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S. pneumoniae + H. influenzae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17.9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11.5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07" w:rsidRPr="00AD37F0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0.992</w:t>
            </w:r>
          </w:p>
        </w:tc>
      </w:tr>
      <w:tr w:rsidR="001F6807" w:rsidRPr="00855C9B" w:rsidTr="00E2636A">
        <w:trPr>
          <w:cantSplit/>
          <w:tblHeader/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6807" w:rsidRPr="001F6807" w:rsidRDefault="001F6807" w:rsidP="001F68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left="421" w:right="60" w:hanging="14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6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43.4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43.8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807" w:rsidRPr="00AD37F0" w:rsidRDefault="001F6807" w:rsidP="001F68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07" w:rsidRPr="00855C9B" w:rsidRDefault="001F6807" w:rsidP="001F6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4D37" w:rsidRPr="00FA4D37" w:rsidRDefault="00FA4D37">
      <w:pPr>
        <w:rPr>
          <w:rFonts w:ascii="Times New Roman" w:hAnsi="Times New Roman" w:cs="Times New Roman"/>
          <w:sz w:val="24"/>
          <w:szCs w:val="24"/>
        </w:rPr>
      </w:pPr>
    </w:p>
    <w:sectPr w:rsidR="00FA4D37" w:rsidRPr="00FA4D37" w:rsidSect="00E2636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666"/>
    <w:multiLevelType w:val="hybridMultilevel"/>
    <w:tmpl w:val="AEE2BE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6B12DD"/>
    <w:multiLevelType w:val="hybridMultilevel"/>
    <w:tmpl w:val="F656F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3F64"/>
    <w:multiLevelType w:val="hybridMultilevel"/>
    <w:tmpl w:val="1CBCCD0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AC39BC"/>
    <w:multiLevelType w:val="hybridMultilevel"/>
    <w:tmpl w:val="B314A0D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BC6C07"/>
    <w:multiLevelType w:val="hybridMultilevel"/>
    <w:tmpl w:val="4F5E60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EDC4977"/>
    <w:multiLevelType w:val="hybridMultilevel"/>
    <w:tmpl w:val="22CAFEE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37"/>
    <w:rsid w:val="001F6807"/>
    <w:rsid w:val="002A796C"/>
    <w:rsid w:val="00351D11"/>
    <w:rsid w:val="00391E0A"/>
    <w:rsid w:val="004D2EE9"/>
    <w:rsid w:val="00855C9B"/>
    <w:rsid w:val="00AD37F0"/>
    <w:rsid w:val="00CB0CF8"/>
    <w:rsid w:val="00DF2463"/>
    <w:rsid w:val="00E2636A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D5784-0D7A-45A6-8360-626CE3C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37"/>
    <w:pPr>
      <w:spacing w:after="0" w:line="240" w:lineRule="auto"/>
      <w:ind w:left="720"/>
    </w:pPr>
    <w:rPr>
      <w:rFonts w:ascii="Calibri" w:eastAsia="Calibri" w:hAnsi="Calibri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7</cp:revision>
  <dcterms:created xsi:type="dcterms:W3CDTF">2016-12-16T09:34:00Z</dcterms:created>
  <dcterms:modified xsi:type="dcterms:W3CDTF">2016-12-16T11:16:00Z</dcterms:modified>
</cp:coreProperties>
</file>