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8C" w:rsidRPr="00745A8C" w:rsidRDefault="00745A8C" w:rsidP="00745A8C">
      <w:pPr>
        <w:rPr>
          <w:rFonts w:cs="Verdana"/>
          <w:b/>
          <w:szCs w:val="22"/>
          <w:u w:color="431A74"/>
        </w:rPr>
      </w:pPr>
      <w:r w:rsidRPr="00745A8C">
        <w:rPr>
          <w:rFonts w:cs="Verdana"/>
          <w:b/>
          <w:szCs w:val="22"/>
          <w:u w:color="431A74"/>
        </w:rPr>
        <w:t>S6 table. Numbers</w:t>
      </w:r>
      <w:bookmarkStart w:id="0" w:name="_GoBack"/>
      <w:bookmarkEnd w:id="0"/>
      <w:r w:rsidRPr="00745A8C">
        <w:rPr>
          <w:rFonts w:cs="Verdana"/>
          <w:b/>
          <w:szCs w:val="22"/>
          <w:u w:color="431A74"/>
        </w:rPr>
        <w:t xml:space="preserve"> and proportions of breast cancer </w:t>
      </w:r>
      <w:proofErr w:type="spellStart"/>
      <w:r w:rsidRPr="00745A8C">
        <w:rPr>
          <w:rFonts w:cs="Verdana"/>
          <w:b/>
          <w:szCs w:val="22"/>
          <w:u w:color="431A74"/>
        </w:rPr>
        <w:t>clinicopathological</w:t>
      </w:r>
      <w:proofErr w:type="spellEnd"/>
      <w:r w:rsidRPr="00745A8C">
        <w:rPr>
          <w:rFonts w:cs="Verdana"/>
          <w:b/>
          <w:szCs w:val="22"/>
          <w:u w:color="431A74"/>
        </w:rPr>
        <w:t xml:space="preserve"> subtypes of breast cancer patients with diabetes, type 2 diabetes and without diabetes in subgroups of menopausal status. </w:t>
      </w:r>
    </w:p>
    <w:tbl>
      <w:tblPr>
        <w:tblW w:w="14985" w:type="dxa"/>
        <w:tblLayout w:type="fixed"/>
        <w:tblLook w:val="04A0" w:firstRow="1" w:lastRow="0" w:firstColumn="1" w:lastColumn="0" w:noHBand="0" w:noVBand="1"/>
      </w:tblPr>
      <w:tblGrid>
        <w:gridCol w:w="2991"/>
        <w:gridCol w:w="1512"/>
        <w:gridCol w:w="283"/>
        <w:gridCol w:w="2032"/>
        <w:gridCol w:w="263"/>
        <w:gridCol w:w="1713"/>
        <w:gridCol w:w="263"/>
        <w:gridCol w:w="1774"/>
        <w:gridCol w:w="283"/>
        <w:gridCol w:w="2026"/>
        <w:gridCol w:w="263"/>
        <w:gridCol w:w="1582"/>
      </w:tblGrid>
      <w:tr w:rsidR="00745A8C" w:rsidRPr="00745A8C" w:rsidTr="00866EFB">
        <w:trPr>
          <w:trHeight w:val="298"/>
        </w:trPr>
        <w:tc>
          <w:tcPr>
            <w:tcW w:w="2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80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A8C" w:rsidRPr="00745A8C" w:rsidRDefault="00745A8C" w:rsidP="00866EFB">
            <w:pPr>
              <w:jc w:val="center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Premenopausal women with breast cancer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A8C" w:rsidRPr="00745A8C" w:rsidRDefault="00745A8C" w:rsidP="00866EFB">
            <w:pPr>
              <w:jc w:val="center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Postmenopausal women with breast cancer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 xml:space="preserve">Diabetes </w:t>
            </w:r>
            <w:r w:rsidRPr="00745A8C">
              <w:rPr>
                <w:rFonts w:eastAsia="Times New Roman" w:cstheme="majorHAnsi"/>
                <w:color w:val="000000"/>
                <w:szCs w:val="22"/>
                <w:vertAlign w:val="superscript"/>
              </w:rPr>
              <w:t>*</w:t>
            </w:r>
          </w:p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Cs/>
                <w:color w:val="000000"/>
              </w:rPr>
              <w:t>(n=110)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  <w:szCs w:val="22"/>
              </w:rPr>
              <w:t xml:space="preserve">Type 2 Diabetes </w:t>
            </w:r>
            <w:r w:rsidRPr="00745A8C">
              <w:rPr>
                <w:rFonts w:eastAsia="Times New Roman" w:cstheme="majorHAnsi"/>
                <w:bCs/>
                <w:color w:val="000000"/>
                <w:sz w:val="20"/>
                <w:szCs w:val="20"/>
                <w:vertAlign w:val="superscript"/>
              </w:rPr>
              <w:t>†</w:t>
            </w:r>
            <w:r w:rsidRPr="00745A8C">
              <w:rPr>
                <w:rFonts w:eastAsia="Times New Roman" w:cs="Times New Roman"/>
                <w:bCs/>
                <w:color w:val="000000"/>
                <w:szCs w:val="22"/>
                <w:vertAlign w:val="superscript"/>
              </w:rPr>
              <w:t xml:space="preserve"> </w:t>
            </w:r>
            <w:r w:rsidRPr="00745A8C">
              <w:rPr>
                <w:rFonts w:eastAsia="Times New Roman" w:cs="Times New Roman"/>
                <w:bCs/>
                <w:color w:val="000000"/>
                <w:szCs w:val="22"/>
              </w:rPr>
              <w:t>(n=91)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No Diabetes</w:t>
            </w:r>
          </w:p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Cs/>
                <w:color w:val="000000"/>
              </w:rPr>
              <w:t>(n=49)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 xml:space="preserve">Diabetes </w:t>
            </w:r>
            <w:r w:rsidRPr="00745A8C"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*</w:t>
            </w:r>
          </w:p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Cs/>
                <w:color w:val="000000"/>
              </w:rPr>
              <w:t>(n=101)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  <w:szCs w:val="22"/>
              </w:rPr>
              <w:t>Type 2 Diabetes</w:t>
            </w:r>
            <w:r w:rsidRPr="00745A8C">
              <w:rPr>
                <w:rFonts w:eastAsia="Times New Roman" w:cs="Calibri"/>
                <w:color w:val="000000" w:themeColor="text1"/>
                <w:szCs w:val="22"/>
                <w:vertAlign w:val="superscript"/>
              </w:rPr>
              <w:t xml:space="preserve"> </w:t>
            </w:r>
            <w:r w:rsidRPr="00745A8C">
              <w:rPr>
                <w:rFonts w:eastAsia="Times New Roman" w:cstheme="majorHAnsi"/>
                <w:bCs/>
                <w:color w:val="000000"/>
                <w:sz w:val="20"/>
                <w:szCs w:val="20"/>
                <w:vertAlign w:val="superscript"/>
              </w:rPr>
              <w:t>†</w:t>
            </w:r>
            <w:r w:rsidRPr="00745A8C">
              <w:rPr>
                <w:rFonts w:eastAsia="Times New Roman" w:cs="Times New Roman"/>
                <w:bCs/>
                <w:color w:val="000000"/>
                <w:szCs w:val="22"/>
              </w:rPr>
              <w:t xml:space="preserve"> (n=95)</w:t>
            </w:r>
          </w:p>
        </w:tc>
        <w:tc>
          <w:tcPr>
            <w:tcW w:w="2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No Diabetes</w:t>
            </w:r>
            <w:r w:rsidRPr="00745A8C">
              <w:rPr>
                <w:rFonts w:eastAsia="Times New Roman" w:cs="Times New Roman"/>
                <w:bCs/>
                <w:color w:val="000000"/>
              </w:rPr>
              <w:t xml:space="preserve"> </w:t>
            </w:r>
          </w:p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Cs/>
                <w:color w:val="000000"/>
              </w:rPr>
              <w:t>(n=52)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Tumor subtype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% (n)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  <w:szCs w:val="22"/>
              </w:rPr>
              <w:t>% (n)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% (n)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% (n)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  <w:szCs w:val="22"/>
              </w:rPr>
              <w:t>% (n)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  <w:r w:rsidRPr="00745A8C">
              <w:rPr>
                <w:rFonts w:eastAsia="Times New Roman" w:cs="Times New Roman"/>
                <w:b/>
                <w:bCs/>
                <w:color w:val="000000"/>
              </w:rPr>
              <w:t>% (n)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Grade 1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22.9 (25)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25.6 (23)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18.4 (9)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17.2 (16)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16.9 (15)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19.6 (10)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Grade 2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33.0 (36)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31.1 (28)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46.9 (23)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38.7 (36)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39.3 (35)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54.9 (28)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Grade 3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44.0 (48)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43.3 (39)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34.7 (17)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44.1 (41)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43.8 (39)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25.5 (13)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ER+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74.3 (81)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74.4 (67)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87.8 (43)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81.2 (82)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80.0 (76)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84.6 (44)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ER-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25.7 (28)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25.6 (23)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12.2 (6)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18.8 (19)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20.0 (19)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15.4 (8)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PR+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64.6 (71)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62.6 (57)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81.6 (40)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64.4 (65)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63.2 (60)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63.5 (33)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PR-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35.5 (39)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37.4 (34)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18.4 (9)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35.6 (36)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36.8 (35)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36.5 (19)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HER2+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  9.3 (10)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10.0 (9)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22.5 (11)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11.9 (12)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11.6 (11)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13.5 (7)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HER2-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90.7 (98)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90.0 (81)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77.6 (38)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88.1 (89)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88.4 (84)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86.5 (45)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Low ki67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50.0 (54)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50.6 (45)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55.1 (27)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61.0 (61)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58.5 (55)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63.5 (33)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High ki67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50.0 (54)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49.4 (44)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  <w:lang w:val="nl-NL"/>
              </w:rPr>
            </w:pPr>
            <w:r w:rsidRPr="00745A8C">
              <w:rPr>
                <w:rFonts w:eastAsia="Times New Roman" w:cs="Times New Roman"/>
                <w:color w:val="000000"/>
              </w:rPr>
              <w:t>44.9 (22)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39.0 (39)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41.5 (39)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36.5 (19)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Non-basal-like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78.2 (86)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78.0 (71)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91.8 (45)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88.1 (89)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88.4 (84)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92.3 (48)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Basal-like </w:t>
            </w:r>
            <w:r w:rsidRPr="00745A8C">
              <w:rPr>
                <w:rFonts w:eastAsia="Times New Roman" w:cs="Times New Roman"/>
                <w:color w:val="000000"/>
                <w:vertAlign w:val="superscript"/>
              </w:rPr>
              <w:t>a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21.8 (24)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22.0 (20)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   &lt;9 (&lt;5)</w:t>
            </w:r>
            <w:r w:rsidRPr="00745A8C">
              <w:rPr>
                <w:rFonts w:eastAsia="Times New Roman" w:cs="Times New Roman"/>
                <w:color w:val="000000"/>
                <w:vertAlign w:val="superscript"/>
              </w:rPr>
              <w:t xml:space="preserve"> </w:t>
            </w:r>
            <w:r w:rsidRPr="00745A8C">
              <w:rPr>
                <w:rFonts w:eastAsia="Times New Roman" w:cs="Times New Roman"/>
                <w:bCs/>
                <w:color w:val="000000"/>
                <w:szCs w:val="20"/>
                <w:vertAlign w:val="superscript"/>
              </w:rPr>
              <w:t>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11.9 (12)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11.6 (11)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   &lt;9 (&lt;5)</w:t>
            </w:r>
            <w:r w:rsidRPr="00745A8C">
              <w:rPr>
                <w:rFonts w:eastAsia="Times New Roman" w:cs="Times New Roman"/>
                <w:color w:val="000000"/>
                <w:vertAlign w:val="superscript"/>
              </w:rPr>
              <w:t xml:space="preserve"> </w:t>
            </w:r>
            <w:r w:rsidRPr="00745A8C">
              <w:rPr>
                <w:rFonts w:eastAsia="Times New Roman" w:cs="Times New Roman"/>
                <w:bCs/>
                <w:color w:val="000000"/>
                <w:szCs w:val="20"/>
                <w:vertAlign w:val="superscript"/>
              </w:rPr>
              <w:t>ǂ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ER+/PR+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64.2 (70)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62.2 (56)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81.6 (40)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64.4 (65)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20.0 (19)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lang w:val="nl-NL"/>
              </w:rPr>
            </w:pPr>
            <w:r w:rsidRPr="00745A8C">
              <w:rPr>
                <w:rFonts w:eastAsia="Times New Roman" w:cs="Times New Roman"/>
                <w:color w:val="000000"/>
                <w:lang w:val="nl-NL"/>
              </w:rPr>
              <w:t>63.5 (33)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ER+/PR-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10.1 (11)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12.2 (11)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   &lt;7 (&lt;5)</w:t>
            </w:r>
            <w:r w:rsidRPr="00745A8C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745A8C">
              <w:rPr>
                <w:rFonts w:eastAsia="Times New Roman" w:cs="Times New Roman"/>
                <w:bCs/>
                <w:color w:val="000000"/>
                <w:szCs w:val="20"/>
                <w:vertAlign w:val="superscript"/>
              </w:rPr>
              <w:t>ǂ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lang w:val="nl-NL"/>
              </w:rPr>
            </w:pPr>
            <w:r w:rsidRPr="00745A8C">
              <w:rPr>
                <w:rFonts w:eastAsia="Times New Roman" w:cs="Times New Roman"/>
                <w:color w:val="000000"/>
                <w:lang w:val="nl-NL"/>
              </w:rPr>
              <w:t>16.8 (17)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lang w:val="nl-NL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16.8 (16)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lang w:val="nl-NL"/>
              </w:rPr>
            </w:pPr>
            <w:r w:rsidRPr="00745A8C">
              <w:rPr>
                <w:rFonts w:eastAsia="Times New Roman" w:cs="Times New Roman"/>
                <w:color w:val="000000"/>
                <w:lang w:val="nl-NL"/>
              </w:rPr>
              <w:t>21.2 (11)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ER-/PR-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25.7 (28)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25.6 (23)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12.2 (6)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  <w:lang w:val="nl-NL"/>
              </w:rPr>
              <w:t>18.8 (</w:t>
            </w:r>
            <w:r w:rsidRPr="00745A8C">
              <w:rPr>
                <w:rFonts w:eastAsia="Times New Roman" w:cs="Times New Roman"/>
                <w:color w:val="000000"/>
              </w:rPr>
              <w:t>19)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63.2 (60)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15.4 (8)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Luminal A-like </w:t>
            </w:r>
            <w:r w:rsidRPr="00745A8C">
              <w:rPr>
                <w:rFonts w:eastAsia="Times New Roman" w:cs="Times New Roman"/>
                <w:color w:val="000000"/>
                <w:vertAlign w:val="superscript"/>
              </w:rPr>
              <w:t>b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43.8 (46)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43.7 (38)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46.9 (23)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50.0 (50)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47.9 (45)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44.2 (23)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Luminal B-like, HER2- </w:t>
            </w:r>
            <w:r w:rsidRPr="00745A8C">
              <w:rPr>
                <w:rFonts w:eastAsia="Times New Roman" w:cs="Times New Roman"/>
                <w:color w:val="000000"/>
                <w:vertAlign w:val="superscript"/>
              </w:rPr>
              <w:t>c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21.9 (23)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21.8 (19)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20.4 (10)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24.0 (24)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25.5 (24)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32.7 (17)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HER2+ </w:t>
            </w:r>
            <w:r w:rsidRPr="00745A8C">
              <w:rPr>
                <w:rFonts w:eastAsia="Times New Roman" w:cs="Times New Roman"/>
                <w:color w:val="000000"/>
                <w:vertAlign w:val="superscript"/>
              </w:rPr>
              <w:t>d</w:t>
            </w:r>
          </w:p>
        </w:tc>
        <w:tc>
          <w:tcPr>
            <w:tcW w:w="15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  9.5 (10)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10.3 (9)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22.5 (11)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12.0 (12)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11.7 (11)</w:t>
            </w:r>
          </w:p>
        </w:tc>
        <w:tc>
          <w:tcPr>
            <w:tcW w:w="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13.5 (7)</w:t>
            </w:r>
          </w:p>
        </w:tc>
      </w:tr>
      <w:tr w:rsidR="00745A8C" w:rsidRPr="00745A8C" w:rsidTr="00866EFB">
        <w:trPr>
          <w:trHeight w:val="298"/>
        </w:trPr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Triple-negative </w:t>
            </w:r>
            <w:r w:rsidRPr="00745A8C">
              <w:rPr>
                <w:rFonts w:eastAsia="Times New Roman" w:cs="Times New Roman"/>
                <w:color w:val="000000"/>
                <w:vertAlign w:val="superscript"/>
              </w:rPr>
              <w:t>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24.8 (26)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24.1 (21)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jc w:val="both"/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10.2 (5)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>14.0 (14)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  <w:szCs w:val="22"/>
              </w:rPr>
            </w:pPr>
            <w:r w:rsidRPr="00745A8C">
              <w:rPr>
                <w:rFonts w:eastAsia="Times New Roman" w:cs="Times New Roman"/>
                <w:color w:val="000000"/>
                <w:szCs w:val="22"/>
              </w:rPr>
              <w:t>14.9 (14)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A8C" w:rsidRPr="00745A8C" w:rsidRDefault="00745A8C" w:rsidP="00866EFB">
            <w:pPr>
              <w:rPr>
                <w:rFonts w:eastAsia="Times New Roman" w:cs="Times New Roman"/>
                <w:color w:val="000000"/>
              </w:rPr>
            </w:pPr>
            <w:r w:rsidRPr="00745A8C">
              <w:rPr>
                <w:rFonts w:eastAsia="Times New Roman" w:cs="Times New Roman"/>
                <w:color w:val="000000"/>
              </w:rPr>
              <w:t xml:space="preserve">  9.6 (5)</w:t>
            </w:r>
          </w:p>
        </w:tc>
      </w:tr>
    </w:tbl>
    <w:p w:rsidR="00745A8C" w:rsidRDefault="00745A8C" w:rsidP="00745A8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sz w:val="22"/>
          <w:szCs w:val="22"/>
          <w:u w:color="431A74"/>
        </w:rPr>
      </w:pPr>
      <w:r w:rsidRPr="00745A8C">
        <w:rPr>
          <w:rFonts w:eastAsia="Times New Roman" w:cs="Times New Roman"/>
          <w:color w:val="000000"/>
          <w:sz w:val="20"/>
          <w:szCs w:val="20"/>
          <w:vertAlign w:val="superscript"/>
        </w:rPr>
        <w:t>a</w:t>
      </w:r>
      <w:r w:rsidRPr="00745A8C">
        <w:rPr>
          <w:rFonts w:eastAsia="Times New Roman" w:cs="Times New Roman"/>
          <w:color w:val="000000"/>
          <w:sz w:val="20"/>
          <w:szCs w:val="20"/>
        </w:rPr>
        <w:t xml:space="preserve"> Positive for </w:t>
      </w:r>
      <w:r w:rsidRPr="00745A8C">
        <w:rPr>
          <w:rFonts w:eastAsia="Times New Roman" w:cs="Arial"/>
          <w:color w:val="000000"/>
          <w:sz w:val="20"/>
          <w:szCs w:val="20"/>
        </w:rPr>
        <w:t>≥</w:t>
      </w:r>
      <w:r w:rsidRPr="00745A8C">
        <w:rPr>
          <w:rFonts w:eastAsia="Times New Roman" w:cs="Times New Roman"/>
          <w:color w:val="000000"/>
          <w:sz w:val="20"/>
          <w:szCs w:val="20"/>
        </w:rPr>
        <w:t xml:space="preserve">1 of the basal markers CK56, CK14, and P63, </w:t>
      </w:r>
      <w:r w:rsidRPr="00745A8C">
        <w:rPr>
          <w:rFonts w:eastAsia="Times New Roman" w:cs="Calibri"/>
          <w:sz w:val="20"/>
          <w:szCs w:val="20"/>
          <w:vertAlign w:val="superscript"/>
        </w:rPr>
        <w:t xml:space="preserve">b </w:t>
      </w:r>
      <w:r w:rsidRPr="00745A8C">
        <w:rPr>
          <w:rFonts w:eastAsia="Times New Roman" w:cs="Calibri"/>
          <w:sz w:val="20"/>
          <w:szCs w:val="20"/>
        </w:rPr>
        <w:t>ER+, PR+, HER2-, low Ki67,</w:t>
      </w:r>
      <w:r w:rsidRPr="00745A8C">
        <w:rPr>
          <w:rFonts w:cs="Verdana"/>
          <w:b/>
          <w:sz w:val="20"/>
          <w:szCs w:val="20"/>
          <w:u w:color="431A74"/>
        </w:rPr>
        <w:t xml:space="preserve"> </w:t>
      </w:r>
      <w:r w:rsidRPr="00745A8C">
        <w:rPr>
          <w:rFonts w:eastAsia="Times New Roman" w:cs="Calibri"/>
          <w:sz w:val="20"/>
          <w:szCs w:val="20"/>
          <w:vertAlign w:val="superscript"/>
        </w:rPr>
        <w:t>c</w:t>
      </w:r>
      <w:r w:rsidRPr="00745A8C">
        <w:rPr>
          <w:rFonts w:eastAsia="Times New Roman" w:cs="Calibri"/>
          <w:sz w:val="20"/>
          <w:szCs w:val="20"/>
        </w:rPr>
        <w:t xml:space="preserve"> ER+, PR-, HER2- with high Ki67,</w:t>
      </w:r>
      <w:r w:rsidRPr="00745A8C">
        <w:rPr>
          <w:rFonts w:cs="Verdana"/>
          <w:b/>
          <w:sz w:val="20"/>
          <w:szCs w:val="20"/>
          <w:u w:color="431A74"/>
        </w:rPr>
        <w:t xml:space="preserve"> </w:t>
      </w:r>
      <w:r w:rsidRPr="00745A8C">
        <w:rPr>
          <w:rFonts w:eastAsia="Times New Roman" w:cs="Calibri"/>
          <w:sz w:val="20"/>
          <w:szCs w:val="20"/>
          <w:vertAlign w:val="superscript"/>
        </w:rPr>
        <w:t xml:space="preserve">d </w:t>
      </w:r>
      <w:r w:rsidRPr="00745A8C">
        <w:rPr>
          <w:rFonts w:eastAsia="Times New Roman" w:cs="Calibri"/>
          <w:sz w:val="20"/>
          <w:szCs w:val="20"/>
        </w:rPr>
        <w:t xml:space="preserve"> ER+ or ER-, PR+ or PR-, HER2+,</w:t>
      </w:r>
      <w:r w:rsidRPr="00745A8C">
        <w:rPr>
          <w:rFonts w:cs="Verdana"/>
          <w:b/>
          <w:sz w:val="20"/>
          <w:szCs w:val="20"/>
          <w:u w:color="431A74"/>
        </w:rPr>
        <w:t xml:space="preserve"> </w:t>
      </w:r>
      <w:r w:rsidRPr="00745A8C">
        <w:rPr>
          <w:rFonts w:eastAsia="Times New Roman" w:cs="Calibri"/>
          <w:sz w:val="20"/>
          <w:szCs w:val="20"/>
          <w:vertAlign w:val="superscript"/>
        </w:rPr>
        <w:t>e</w:t>
      </w:r>
      <w:r w:rsidRPr="00745A8C">
        <w:rPr>
          <w:rFonts w:eastAsia="Times New Roman" w:cs="Calibri"/>
          <w:sz w:val="20"/>
          <w:szCs w:val="20"/>
        </w:rPr>
        <w:t xml:space="preserve"> ER-, PR-, HER2-. </w:t>
      </w:r>
      <w:r w:rsidRPr="00745A8C">
        <w:rPr>
          <w:rFonts w:eastAsia="Times New Roman" w:cstheme="majorHAnsi"/>
          <w:bCs/>
          <w:color w:val="000000"/>
          <w:sz w:val="20"/>
          <w:szCs w:val="20"/>
        </w:rPr>
        <w:t>Missing values are not shown, therefore the sum of the categories does not add up to the total number of patients. * All women with diabetes, † women with type</w:t>
      </w:r>
      <w:r w:rsidRPr="00745A8C">
        <w:rPr>
          <w:rFonts w:eastAsia="Times New Roman" w:cs="Times New Roman"/>
          <w:color w:val="000000"/>
          <w:sz w:val="20"/>
          <w:szCs w:val="20"/>
        </w:rPr>
        <w:t xml:space="preserve"> 2 diabetes only,</w:t>
      </w:r>
      <w:r w:rsidRPr="00745A8C">
        <w:rPr>
          <w:rFonts w:eastAsia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745A8C">
        <w:rPr>
          <w:rFonts w:eastAsia="Times New Roman" w:cs="Times New Roman"/>
          <w:bCs/>
          <w:color w:val="000000"/>
          <w:szCs w:val="20"/>
          <w:vertAlign w:val="superscript"/>
        </w:rPr>
        <w:t>ǂ</w:t>
      </w:r>
      <w:r w:rsidRPr="00745A8C">
        <w:rPr>
          <w:rFonts w:eastAsia="Times New Roman" w:cstheme="majorHAnsi"/>
          <w:bCs/>
          <w:color w:val="000000"/>
          <w:sz w:val="20"/>
          <w:szCs w:val="20"/>
        </w:rPr>
        <w:t xml:space="preserve"> exact numbers &lt;5 with percentages cannot be shown according to regulations of Statistics Denmark.</w:t>
      </w:r>
    </w:p>
    <w:p w:rsidR="007705E4" w:rsidRDefault="007705E4"/>
    <w:sectPr w:rsidR="007705E4" w:rsidSect="00745A8C">
      <w:pgSz w:w="15840" w:h="12240" w:orient="landscape"/>
      <w:pgMar w:top="992" w:right="62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8C"/>
    <w:rsid w:val="00745A8C"/>
    <w:rsid w:val="0077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Antoni van Leeuwenhoek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Bronsveld</dc:creator>
  <cp:lastModifiedBy>Heleen Bronsveld</cp:lastModifiedBy>
  <cp:revision>1</cp:revision>
  <dcterms:created xsi:type="dcterms:W3CDTF">2017-01-02T16:19:00Z</dcterms:created>
  <dcterms:modified xsi:type="dcterms:W3CDTF">2017-01-02T16:20:00Z</dcterms:modified>
</cp:coreProperties>
</file>