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7E" w:rsidRPr="00F565AC" w:rsidRDefault="002A6A7E" w:rsidP="002A6A7E">
      <w:pPr>
        <w:rPr>
          <w:b/>
        </w:rPr>
      </w:pPr>
      <w:bookmarkStart w:id="0" w:name="_GoBack"/>
      <w:bookmarkEnd w:id="0"/>
      <w:proofErr w:type="gramStart"/>
      <w:r w:rsidRPr="00F565AC">
        <w:rPr>
          <w:b/>
        </w:rPr>
        <w:t>S</w:t>
      </w:r>
      <w:r w:rsidR="00F565AC" w:rsidRPr="00F565AC">
        <w:rPr>
          <w:b/>
        </w:rPr>
        <w:t>9</w:t>
      </w:r>
      <w:r w:rsidRPr="00F565AC">
        <w:rPr>
          <w:b/>
        </w:rPr>
        <w:t xml:space="preserve"> Table.</w:t>
      </w:r>
      <w:proofErr w:type="gramEnd"/>
      <w:r w:rsidRPr="00F565AC">
        <w:rPr>
          <w:b/>
        </w:rPr>
        <w:t xml:space="preserve"> Isolation model </w:t>
      </w:r>
      <w:r w:rsidR="00F565AC" w:rsidRPr="00F565AC">
        <w:rPr>
          <w:b/>
        </w:rPr>
        <w:t xml:space="preserve">(IM) </w:t>
      </w:r>
      <w:r w:rsidRPr="00F565AC">
        <w:rPr>
          <w:b/>
        </w:rPr>
        <w:t xml:space="preserve">parameter estimates for </w:t>
      </w:r>
      <w:r w:rsidRPr="00F565AC">
        <w:rPr>
          <w:b/>
          <w:i/>
        </w:rPr>
        <w:t>P</w:t>
      </w:r>
      <w:r w:rsidR="00F565AC" w:rsidRPr="00F565AC">
        <w:rPr>
          <w:b/>
          <w:i/>
        </w:rPr>
        <w:t>hytophthora</w:t>
      </w:r>
      <w:r w:rsidRPr="00F565AC">
        <w:rPr>
          <w:b/>
          <w:i/>
        </w:rPr>
        <w:t xml:space="preserve"> infestans</w:t>
      </w:r>
      <w:r w:rsidRPr="00F565AC">
        <w:rPr>
          <w:b/>
        </w:rPr>
        <w:t xml:space="preserve"> populations from US Historic (</w:t>
      </w:r>
      <w:proofErr w:type="spellStart"/>
      <w:r w:rsidRPr="00F565AC">
        <w:rPr>
          <w:b/>
        </w:rPr>
        <w:t>USHist</w:t>
      </w:r>
      <w:proofErr w:type="spellEnd"/>
      <w:r w:rsidRPr="00F565AC">
        <w:rPr>
          <w:b/>
        </w:rPr>
        <w:t>), EU Historic (</w:t>
      </w:r>
      <w:proofErr w:type="spellStart"/>
      <w:r w:rsidRPr="00F565AC">
        <w:rPr>
          <w:b/>
        </w:rPr>
        <w:t>EUHist</w:t>
      </w:r>
      <w:proofErr w:type="spellEnd"/>
      <w:r w:rsidRPr="00F565AC">
        <w:rPr>
          <w:b/>
        </w:rPr>
        <w:t xml:space="preserve">), Mexican (MEX), US-1 and South America (SA) based on variation in the </w:t>
      </w:r>
      <w:proofErr w:type="spellStart"/>
      <w:r w:rsidRPr="00F565AC">
        <w:rPr>
          <w:b/>
          <w:i/>
        </w:rPr>
        <w:t>ras</w:t>
      </w:r>
      <w:proofErr w:type="spellEnd"/>
      <w:r w:rsidRPr="00F565AC">
        <w:rPr>
          <w:b/>
          <w:i/>
        </w:rPr>
        <w:t xml:space="preserve"> </w:t>
      </w:r>
      <w:r w:rsidR="00F565AC">
        <w:rPr>
          <w:b/>
        </w:rPr>
        <w:t xml:space="preserve">or </w:t>
      </w:r>
      <w:r w:rsidR="00F565AC" w:rsidRPr="00F565AC">
        <w:rPr>
          <w:b/>
          <w:i/>
        </w:rPr>
        <w:t>PiAVR2</w:t>
      </w:r>
      <w:r w:rsidR="00F565AC">
        <w:rPr>
          <w:b/>
        </w:rPr>
        <w:t xml:space="preserve"> nuclear loci</w:t>
      </w:r>
      <w:r w:rsidRPr="00F565AC">
        <w:rPr>
          <w:b/>
        </w:rPr>
        <w:t>.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081"/>
        <w:gridCol w:w="1817"/>
        <w:gridCol w:w="1980"/>
        <w:gridCol w:w="1980"/>
        <w:gridCol w:w="1980"/>
        <w:gridCol w:w="1980"/>
      </w:tblGrid>
      <w:tr w:rsidR="002A6A7E" w:rsidTr="00A8079F">
        <w:trPr>
          <w:trHeight w:val="825"/>
        </w:trPr>
        <w:tc>
          <w:tcPr>
            <w:tcW w:w="1081" w:type="dxa"/>
            <w:tcBorders>
              <w:left w:val="nil"/>
              <w:bottom w:val="single" w:sz="4" w:space="0" w:color="auto"/>
              <w:right w:val="nil"/>
            </w:tcBorders>
          </w:tcPr>
          <w:p w:rsidR="002A6A7E" w:rsidRPr="00984E49" w:rsidRDefault="002A6A7E" w:rsidP="00A8079F">
            <w:pPr>
              <w:rPr>
                <w:b/>
              </w:rPr>
            </w:pPr>
            <w:r w:rsidRPr="00984E49">
              <w:rPr>
                <w:b/>
              </w:rPr>
              <w:t>Parameter</w:t>
            </w: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nil"/>
            </w:tcBorders>
          </w:tcPr>
          <w:p w:rsidR="002A6A7E" w:rsidRDefault="002A6A7E" w:rsidP="00A8079F">
            <w:pPr>
              <w:rPr>
                <w:b/>
              </w:rPr>
            </w:pPr>
            <w:proofErr w:type="spellStart"/>
            <w:r>
              <w:rPr>
                <w:b/>
              </w:rPr>
              <w:t>USHist</w:t>
            </w:r>
            <w:proofErr w:type="spellEnd"/>
            <w:r>
              <w:rPr>
                <w:b/>
              </w:rPr>
              <w:t xml:space="preserve"> (1)</w:t>
            </w:r>
          </w:p>
          <w:p w:rsidR="002A6A7E" w:rsidRDefault="002A6A7E" w:rsidP="00A8079F">
            <w:pPr>
              <w:rPr>
                <w:b/>
              </w:rPr>
            </w:pPr>
            <w:r>
              <w:rPr>
                <w:b/>
              </w:rPr>
              <w:t>vs</w:t>
            </w:r>
          </w:p>
          <w:p w:rsidR="002A6A7E" w:rsidRPr="00984E49" w:rsidRDefault="002A6A7E" w:rsidP="00A8079F">
            <w:pPr>
              <w:rPr>
                <w:b/>
              </w:rPr>
            </w:pPr>
            <w:proofErr w:type="spellStart"/>
            <w:r>
              <w:rPr>
                <w:b/>
              </w:rPr>
              <w:t>EUHist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2A6A7E" w:rsidRDefault="002A6A7E" w:rsidP="00A8079F">
            <w:pPr>
              <w:rPr>
                <w:b/>
              </w:rPr>
            </w:pPr>
            <w:proofErr w:type="spellStart"/>
            <w:r>
              <w:rPr>
                <w:b/>
              </w:rPr>
              <w:t>USHist</w:t>
            </w:r>
            <w:proofErr w:type="spellEnd"/>
            <w:r>
              <w:rPr>
                <w:b/>
              </w:rPr>
              <w:t xml:space="preserve"> (1) vs </w:t>
            </w:r>
          </w:p>
          <w:p w:rsidR="002A6A7E" w:rsidRDefault="002A6A7E" w:rsidP="00A8079F">
            <w:pPr>
              <w:rPr>
                <w:b/>
              </w:rPr>
            </w:pPr>
            <w:r w:rsidRPr="00984E49">
              <w:rPr>
                <w:b/>
              </w:rPr>
              <w:t>M</w:t>
            </w:r>
            <w:r>
              <w:rPr>
                <w:b/>
              </w:rPr>
              <w:t>EX (2)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2A6A7E" w:rsidRDefault="002A6A7E" w:rsidP="00A8079F">
            <w:pPr>
              <w:rPr>
                <w:b/>
              </w:rPr>
            </w:pPr>
            <w:proofErr w:type="spellStart"/>
            <w:r>
              <w:rPr>
                <w:b/>
              </w:rPr>
              <w:t>USHist</w:t>
            </w:r>
            <w:proofErr w:type="spellEnd"/>
            <w:r>
              <w:rPr>
                <w:b/>
              </w:rPr>
              <w:t xml:space="preserve"> (1) vs</w:t>
            </w:r>
          </w:p>
          <w:p w:rsidR="002A6A7E" w:rsidRPr="00984E49" w:rsidRDefault="002A6A7E" w:rsidP="00A8079F">
            <w:pPr>
              <w:rPr>
                <w:b/>
              </w:rPr>
            </w:pPr>
            <w:r w:rsidRPr="00984E49">
              <w:rPr>
                <w:b/>
              </w:rPr>
              <w:t>S</w:t>
            </w:r>
            <w:r>
              <w:rPr>
                <w:b/>
              </w:rPr>
              <w:t>A (2)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2A6A7E" w:rsidRDefault="002A6A7E" w:rsidP="00A8079F">
            <w:pPr>
              <w:rPr>
                <w:b/>
              </w:rPr>
            </w:pPr>
            <w:r>
              <w:rPr>
                <w:b/>
              </w:rPr>
              <w:t>US-1 (1)</w:t>
            </w:r>
          </w:p>
          <w:p w:rsidR="002A6A7E" w:rsidRDefault="002A6A7E" w:rsidP="00A8079F">
            <w:pPr>
              <w:rPr>
                <w:b/>
              </w:rPr>
            </w:pPr>
            <w:r>
              <w:rPr>
                <w:b/>
              </w:rPr>
              <w:t xml:space="preserve"> vs</w:t>
            </w:r>
          </w:p>
          <w:p w:rsidR="002A6A7E" w:rsidRPr="00984E49" w:rsidRDefault="002A6A7E" w:rsidP="00A8079F">
            <w:pPr>
              <w:rPr>
                <w:b/>
              </w:rPr>
            </w:pPr>
            <w:r w:rsidRPr="00984E49">
              <w:rPr>
                <w:b/>
              </w:rPr>
              <w:t>M</w:t>
            </w:r>
            <w:r>
              <w:rPr>
                <w:b/>
              </w:rPr>
              <w:t>EX(2)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2A6A7E" w:rsidRDefault="002A6A7E" w:rsidP="00A8079F">
            <w:pPr>
              <w:rPr>
                <w:b/>
              </w:rPr>
            </w:pPr>
            <w:r>
              <w:rPr>
                <w:b/>
              </w:rPr>
              <w:t>US-1 (1)</w:t>
            </w:r>
          </w:p>
          <w:p w:rsidR="002A6A7E" w:rsidRDefault="002A6A7E" w:rsidP="00A8079F">
            <w:pPr>
              <w:rPr>
                <w:b/>
              </w:rPr>
            </w:pPr>
            <w:r>
              <w:rPr>
                <w:b/>
              </w:rPr>
              <w:t xml:space="preserve"> vs </w:t>
            </w:r>
          </w:p>
          <w:p w:rsidR="002A6A7E" w:rsidRPr="00984E49" w:rsidRDefault="002A6A7E" w:rsidP="00A8079F">
            <w:pPr>
              <w:rPr>
                <w:b/>
              </w:rPr>
            </w:pPr>
            <w:r w:rsidRPr="00984E49">
              <w:rPr>
                <w:b/>
              </w:rPr>
              <w:t>S</w:t>
            </w:r>
            <w:r>
              <w:rPr>
                <w:b/>
              </w:rPr>
              <w:t>A (2)</w:t>
            </w:r>
          </w:p>
        </w:tc>
      </w:tr>
      <w:tr w:rsidR="002A6A7E" w:rsidTr="00A8079F">
        <w:trPr>
          <w:trHeight w:val="262"/>
        </w:trPr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A7E" w:rsidRPr="00AF4370" w:rsidRDefault="002A6A7E" w:rsidP="00A8079F">
            <w:pPr>
              <w:rPr>
                <w:i/>
              </w:rPr>
            </w:pPr>
            <w:proofErr w:type="spellStart"/>
            <w:r>
              <w:rPr>
                <w:i/>
              </w:rPr>
              <w:t>IRRas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A7E" w:rsidRDefault="002A6A7E" w:rsidP="00A8079F"/>
        </w:tc>
      </w:tr>
      <w:tr w:rsidR="002A6A7E" w:rsidTr="00A8079F">
        <w:trPr>
          <w:trHeight w:val="289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Pr="00042BAE" w:rsidRDefault="002A6A7E" w:rsidP="00A8079F">
            <w:r w:rsidRPr="00042BAE">
              <w:t>θ</w:t>
            </w:r>
            <w:r w:rsidRPr="00042BAE">
              <w:rPr>
                <w:vertAlign w:val="subscri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0.6</w:t>
            </w:r>
            <w:r w:rsidR="00F514DF">
              <w:t>4</w:t>
            </w:r>
            <w:r>
              <w:t xml:space="preserve"> (0.1</w:t>
            </w:r>
            <w:r w:rsidR="00F514DF">
              <w:t>0</w:t>
            </w:r>
            <w:r>
              <w:t>, 6.</w:t>
            </w:r>
            <w:r w:rsidR="00F514DF">
              <w:t>85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1.</w:t>
            </w:r>
            <w:r w:rsidR="00743FA0">
              <w:t>18</w:t>
            </w:r>
            <w:r>
              <w:t xml:space="preserve"> (0.1</w:t>
            </w:r>
            <w:r w:rsidR="00743FA0">
              <w:t>5</w:t>
            </w:r>
            <w:r>
              <w:t>, 7.</w:t>
            </w:r>
            <w:r w:rsidR="00743FA0">
              <w:t>4</w:t>
            </w:r>
            <w:r>
              <w:t>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</w:t>
            </w:r>
            <w:r w:rsidR="00DD1D3A">
              <w:t>83</w:t>
            </w:r>
            <w:r>
              <w:t xml:space="preserve"> (0.15, 6.2</w:t>
            </w:r>
            <w:r w:rsidR="00DD1D3A">
              <w:t>2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</w:t>
            </w:r>
            <w:r w:rsidR="00BE5A96">
              <w:t>36</w:t>
            </w:r>
            <w:r>
              <w:t xml:space="preserve"> (0.04, </w:t>
            </w:r>
            <w:r w:rsidR="00BE5A96">
              <w:t>3.43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964F30" w:rsidP="00A8079F">
            <w:r>
              <w:t>0.46</w:t>
            </w:r>
            <w:r w:rsidR="002A6A7E">
              <w:t xml:space="preserve"> (0.0</w:t>
            </w:r>
            <w:r>
              <w:t>6</w:t>
            </w:r>
            <w:r w:rsidR="002A6A7E">
              <w:t xml:space="preserve">, </w:t>
            </w:r>
            <w:r>
              <w:t>2.29</w:t>
            </w:r>
            <w:r w:rsidR="002A6A7E">
              <w:t>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Pr="00042BAE" w:rsidRDefault="002A6A7E" w:rsidP="00A8079F">
            <w:r w:rsidRPr="00042BAE">
              <w:t>θ</w:t>
            </w:r>
            <w:r w:rsidRPr="00042BAE">
              <w:rPr>
                <w:vertAlign w:val="subscri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F514DF" w:rsidP="00A8079F">
            <w:r>
              <w:t>2.86</w:t>
            </w:r>
            <w:r w:rsidR="002A6A7E">
              <w:t xml:space="preserve"> (0.</w:t>
            </w:r>
            <w:r>
              <w:t>09</w:t>
            </w:r>
            <w:r w:rsidR="002A6A7E">
              <w:t>, 1</w:t>
            </w:r>
            <w:r>
              <w:t>0</w:t>
            </w:r>
            <w:r w:rsidR="002A6A7E">
              <w:t>.</w:t>
            </w:r>
            <w:r>
              <w:t>48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</w:t>
            </w:r>
            <w:r w:rsidR="00743FA0">
              <w:t>83</w:t>
            </w:r>
            <w:r>
              <w:t xml:space="preserve"> (0.</w:t>
            </w:r>
            <w:r w:rsidR="00743FA0">
              <w:t>1</w:t>
            </w:r>
            <w:r>
              <w:t xml:space="preserve">3, </w:t>
            </w:r>
            <w:r w:rsidR="00743FA0">
              <w:t>6.89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DD1D3A" w:rsidP="00A8079F">
            <w:r>
              <w:t>1.05</w:t>
            </w:r>
            <w:r w:rsidR="002A6A7E">
              <w:t xml:space="preserve"> (0.</w:t>
            </w:r>
            <w:r>
              <w:t>1</w:t>
            </w:r>
            <w:r w:rsidR="002A6A7E">
              <w:t xml:space="preserve">8, </w:t>
            </w:r>
            <w:r>
              <w:t>11.03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1.</w:t>
            </w:r>
            <w:r w:rsidR="00BE5A96">
              <w:t>32</w:t>
            </w:r>
            <w:r>
              <w:t xml:space="preserve"> (0.</w:t>
            </w:r>
            <w:r w:rsidR="00BE5A96">
              <w:t>16</w:t>
            </w:r>
            <w:r>
              <w:t xml:space="preserve">, </w:t>
            </w:r>
            <w:r w:rsidR="00BE5A96">
              <w:t>7.20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964F30" w:rsidP="00A8079F">
            <w:r>
              <w:t>1.20</w:t>
            </w:r>
            <w:r w:rsidR="002A6A7E">
              <w:t xml:space="preserve"> (0.</w:t>
            </w:r>
            <w:r>
              <w:t>2</w:t>
            </w:r>
            <w:r w:rsidR="002A6A7E">
              <w:t>4, 8.82</w:t>
            </w:r>
            <w:r>
              <w:t>12.47</w:t>
            </w:r>
            <w:r w:rsidR="002A6A7E">
              <w:t>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Pr="00042BAE" w:rsidRDefault="002A6A7E" w:rsidP="00A8079F">
            <w:proofErr w:type="spellStart"/>
            <w:r w:rsidRPr="00042BAE">
              <w:t>θ</w:t>
            </w:r>
            <w:r w:rsidRPr="00042BAE">
              <w:rPr>
                <w:vertAlign w:val="subscript"/>
              </w:rPr>
              <w:t>A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5.0</w:t>
            </w:r>
            <w:r w:rsidR="00F514DF">
              <w:t>3</w:t>
            </w:r>
            <w:r>
              <w:t xml:space="preserve"> (0.</w:t>
            </w:r>
            <w:r w:rsidR="00F514DF">
              <w:t>20</w:t>
            </w:r>
            <w:r>
              <w:t xml:space="preserve">, </w:t>
            </w:r>
            <w:r w:rsidR="00F514DF">
              <w:t>10.61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3.</w:t>
            </w:r>
            <w:r w:rsidR="00743FA0">
              <w:t>47</w:t>
            </w:r>
            <w:r>
              <w:t xml:space="preserve"> (0.1</w:t>
            </w:r>
            <w:r w:rsidR="00743FA0">
              <w:t>5</w:t>
            </w:r>
            <w:r>
              <w:t>, 7.</w:t>
            </w:r>
            <w:r w:rsidR="00743FA0">
              <w:t>80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DD1D3A" w:rsidP="00A8079F">
            <w:r>
              <w:t>9.82</w:t>
            </w:r>
            <w:r w:rsidR="002A6A7E">
              <w:t xml:space="preserve"> (0.6</w:t>
            </w:r>
            <w:r>
              <w:t>7</w:t>
            </w:r>
            <w:r w:rsidR="002A6A7E">
              <w:t xml:space="preserve">, </w:t>
            </w:r>
            <w:r>
              <w:t>20.56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BE5A96" w:rsidP="00A8079F">
            <w:r>
              <w:t>3.68</w:t>
            </w:r>
            <w:r w:rsidR="002A6A7E">
              <w:t xml:space="preserve"> (0.1</w:t>
            </w:r>
            <w:r>
              <w:t>7</w:t>
            </w:r>
            <w:r w:rsidR="002A6A7E">
              <w:t xml:space="preserve">, </w:t>
            </w:r>
            <w:r>
              <w:t>7.65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9.</w:t>
            </w:r>
            <w:r w:rsidR="00964F30">
              <w:t>91</w:t>
            </w:r>
            <w:r>
              <w:t xml:space="preserve"> (0.</w:t>
            </w:r>
            <w:r w:rsidR="00964F30">
              <w:t>71</w:t>
            </w:r>
            <w:r>
              <w:t xml:space="preserve">, </w:t>
            </w:r>
            <w:r w:rsidR="00964F30">
              <w:t>20.56</w:t>
            </w:r>
            <w:r>
              <w:t>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F514DF" w:rsidP="00A8079F">
            <w:r>
              <w:t>5.01</w:t>
            </w:r>
            <w:r w:rsidR="002A6A7E">
              <w:t xml:space="preserve"> (0.0</w:t>
            </w:r>
            <w:r>
              <w:t>8</w:t>
            </w:r>
            <w:r w:rsidR="002A6A7E">
              <w:t>, 9.7</w:t>
            </w:r>
            <w:r>
              <w:t>6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743FA0" w:rsidP="00A8079F">
            <w:r>
              <w:t>4.71</w:t>
            </w:r>
            <w:r w:rsidR="002A6A7E">
              <w:t xml:space="preserve"> (0.</w:t>
            </w:r>
            <w:r>
              <w:t>04</w:t>
            </w:r>
            <w:r w:rsidR="002A6A7E">
              <w:t>, 9.7</w:t>
            </w:r>
            <w:r>
              <w:t>4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4.</w:t>
            </w:r>
            <w:r w:rsidR="00DD1D3A">
              <w:t>70</w:t>
            </w:r>
            <w:r>
              <w:t xml:space="preserve"> (0.</w:t>
            </w:r>
            <w:r w:rsidR="00DD1D3A">
              <w:t>28</w:t>
            </w:r>
            <w:r>
              <w:t>, 9.7</w:t>
            </w:r>
            <w:r w:rsidR="00DD1D3A">
              <w:t>4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BE5A96" w:rsidP="00A8079F">
            <w:r>
              <w:t>5.00</w:t>
            </w:r>
            <w:r w:rsidR="002A6A7E">
              <w:t xml:space="preserve"> (0.</w:t>
            </w:r>
            <w:r>
              <w:t>08</w:t>
            </w:r>
            <w:r w:rsidR="002A6A7E">
              <w:t>, 9.75)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964F30" w:rsidP="00A8079F">
            <w:r>
              <w:t>4.40</w:t>
            </w:r>
            <w:r w:rsidR="002A6A7E">
              <w:t xml:space="preserve"> (0.</w:t>
            </w:r>
            <w:r>
              <w:t>23</w:t>
            </w:r>
            <w:r w:rsidR="002A6A7E">
              <w:t>, 9.</w:t>
            </w:r>
            <w:r>
              <w:t>73</w:t>
            </w:r>
            <w:r w:rsidR="002A6A7E">
              <w:t>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m</w:t>
            </w:r>
            <w:r w:rsidRPr="00042BAE">
              <w:rPr>
                <w:vertAlign w:val="subscri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F514DF" w:rsidP="00A8079F">
            <w:r>
              <w:t>4.59</w:t>
            </w:r>
            <w:r w:rsidR="002A6A7E">
              <w:t xml:space="preserve"> (0.1</w:t>
            </w:r>
            <w:r>
              <w:t>6</w:t>
            </w:r>
            <w:r w:rsidR="002A6A7E">
              <w:t>, 9.</w:t>
            </w:r>
            <w:r>
              <w:t>77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6.</w:t>
            </w:r>
            <w:r w:rsidR="00743FA0">
              <w:t>34</w:t>
            </w:r>
            <w:r>
              <w:t xml:space="preserve"> (0.</w:t>
            </w:r>
            <w:r w:rsidR="00743FA0">
              <w:t>28</w:t>
            </w:r>
            <w:r>
              <w:t>, 9.86)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4.</w:t>
            </w:r>
            <w:r w:rsidR="00DD1D3A">
              <w:t>62</w:t>
            </w:r>
            <w:r>
              <w:t xml:space="preserve"> (0.1</w:t>
            </w:r>
            <w:r w:rsidR="00DD1D3A">
              <w:t>8</w:t>
            </w:r>
            <w:r>
              <w:t>, 9.</w:t>
            </w:r>
            <w:r w:rsidR="00DD1D3A">
              <w:t>74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BE5A96" w:rsidP="00A8079F">
            <w:r>
              <w:t>5.03</w:t>
            </w:r>
            <w:r w:rsidR="002A6A7E">
              <w:t xml:space="preserve"> (0.</w:t>
            </w:r>
            <w:r>
              <w:t>22</w:t>
            </w:r>
            <w:r w:rsidR="002A6A7E">
              <w:t>, 9.</w:t>
            </w:r>
            <w:r>
              <w:t>78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4.</w:t>
            </w:r>
            <w:r w:rsidR="00964F30">
              <w:t>85</w:t>
            </w:r>
            <w:r>
              <w:t xml:space="preserve"> (0.</w:t>
            </w:r>
            <w:r w:rsidR="00964F30">
              <w:t>23</w:t>
            </w:r>
            <w:r>
              <w:t>, 9.</w:t>
            </w:r>
            <w:r w:rsidR="00964F30">
              <w:t>74</w:t>
            </w:r>
            <w:r>
              <w:t>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m</w:t>
            </w:r>
            <w:r w:rsidRPr="00042BAE">
              <w:rPr>
                <w:vertAlign w:val="subscri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F514DF" w:rsidP="00A8079F">
            <w:r>
              <w:t>6.63</w:t>
            </w:r>
            <w:r w:rsidR="002A6A7E">
              <w:t xml:space="preserve"> (0.</w:t>
            </w:r>
            <w:r>
              <w:t>50</w:t>
            </w:r>
            <w:r w:rsidR="002A6A7E">
              <w:t>, 9.8</w:t>
            </w:r>
            <w:r>
              <w:t>6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743FA0" w:rsidP="00A8079F">
            <w:r>
              <w:t>5.70</w:t>
            </w:r>
            <w:r w:rsidR="002A6A7E">
              <w:t xml:space="preserve"> (0.</w:t>
            </w:r>
            <w:r>
              <w:t>2</w:t>
            </w:r>
            <w:r w:rsidR="002A6A7E">
              <w:t>3, 9.</w:t>
            </w:r>
            <w:r>
              <w:t>83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8A1366" w:rsidP="00A8079F">
            <w:r>
              <w:t>6.25</w:t>
            </w:r>
            <w:r w:rsidR="002A6A7E">
              <w:t xml:space="preserve"> (0.</w:t>
            </w:r>
            <w:r>
              <w:t>81</w:t>
            </w:r>
            <w:r w:rsidR="002A6A7E">
              <w:t>, 9.</w:t>
            </w:r>
            <w:r>
              <w:t>82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BE5A96" w:rsidP="00A8079F">
            <w:r>
              <w:t>7.02</w:t>
            </w:r>
            <w:r w:rsidR="002A6A7E">
              <w:t xml:space="preserve"> (0.5</w:t>
            </w:r>
            <w:r>
              <w:t>7</w:t>
            </w:r>
            <w:r w:rsidR="002A6A7E">
              <w:t>, 9.8</w:t>
            </w:r>
            <w:r>
              <w:t>8</w:t>
            </w:r>
            <w:r w:rsidR="002A6A7E"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964F30" w:rsidP="00A8079F">
            <w:r>
              <w:t>6.18</w:t>
            </w:r>
            <w:r w:rsidR="002A6A7E">
              <w:t xml:space="preserve"> (0.</w:t>
            </w:r>
            <w:r>
              <w:t>74</w:t>
            </w:r>
            <w:r w:rsidR="002A6A7E">
              <w:t>, 9.</w:t>
            </w:r>
            <w:r>
              <w:t>83</w:t>
            </w:r>
            <w:r w:rsidR="002A6A7E">
              <w:t>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Pr="00A32933" w:rsidRDefault="002A6A7E" w:rsidP="00A8079F">
            <w:pPr>
              <w:rPr>
                <w:i/>
              </w:rPr>
            </w:pPr>
            <w:r>
              <w:rPr>
                <w:i/>
              </w:rPr>
              <w:t>PiAVR2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/>
        </w:tc>
      </w:tr>
      <w:tr w:rsidR="002A6A7E" w:rsidTr="00A8079F">
        <w:trPr>
          <w:trHeight w:val="289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 w:rsidRPr="00042BAE">
              <w:t>θ</w:t>
            </w:r>
            <w:r w:rsidRPr="00042BAE">
              <w:rPr>
                <w:vertAlign w:val="subscri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0.35 (0.04, 3.35)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0.29 (0.04, 1.96)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0.41(0.05, 3.62)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0.38 (0.04, 4.33)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 xml:space="preserve">0.46 (0.05, 4.28) 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 w:rsidRPr="00042BAE">
              <w:t>θ</w:t>
            </w:r>
            <w:r w:rsidRPr="00042BAE">
              <w:rPr>
                <w:vertAlign w:val="subscri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1.40 (0.08, 6.70)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3.88 (0.14, 10.54)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0.51 (0.05, 4.39)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3.3 (0.11, 10.5)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0.73 (0.07, 5.29)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proofErr w:type="spellStart"/>
            <w:r w:rsidRPr="00042BAE">
              <w:t>θ</w:t>
            </w:r>
            <w:r w:rsidRPr="00042BAE">
              <w:rPr>
                <w:vertAlign w:val="subscript"/>
              </w:rPr>
              <w:t>A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3.23 (0.14, 6.87)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5.24 (0.22, 10.62)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2.37 (0.11, 5.00)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5.19 (0.21, 10.62)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2.60 (0.11, 5.65)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4.87 (0.02, 9.75)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5.06 (0.20, 9.75)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4.88 (0.02, 9.75)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5.05 (0.12, 9.76)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4.75 (0.02, 9.74)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m</w:t>
            </w:r>
            <w:r w:rsidRPr="00042BAE">
              <w:rPr>
                <w:vertAlign w:val="subscri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5.05 (0.22, 9.77)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4.04 (0.15, 9.68)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5.87 (0.34, 9.83)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4.45 (0.17, 9.74)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5.78 (0.30, 9.83)</w:t>
            </w:r>
          </w:p>
        </w:tc>
      </w:tr>
      <w:tr w:rsidR="002A6A7E" w:rsidTr="00A8079F">
        <w:trPr>
          <w:trHeight w:val="2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m</w:t>
            </w:r>
            <w:r w:rsidRPr="00042BAE">
              <w:rPr>
                <w:vertAlign w:val="subscri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6.99 (0.62, 9.88)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7.17 (1.06, 9.88)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6.49 (0.51, 9.86)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6.87 (0.66, 9.87)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6A7E" w:rsidRDefault="002A6A7E" w:rsidP="00A8079F">
            <w:r>
              <w:t>6.54 (0.45, 9.86)</w:t>
            </w:r>
          </w:p>
        </w:tc>
      </w:tr>
      <w:tr w:rsidR="002A6A7E" w:rsidTr="00A8079F">
        <w:trPr>
          <w:trHeight w:val="289"/>
        </w:trPr>
        <w:tc>
          <w:tcPr>
            <w:tcW w:w="1081" w:type="dxa"/>
            <w:tcBorders>
              <w:top w:val="nil"/>
              <w:left w:val="nil"/>
              <w:right w:val="nil"/>
            </w:tcBorders>
          </w:tcPr>
          <w:p w:rsidR="002A6A7E" w:rsidRDefault="002A6A7E" w:rsidP="00A8079F"/>
        </w:tc>
        <w:tc>
          <w:tcPr>
            <w:tcW w:w="1817" w:type="dxa"/>
            <w:tcBorders>
              <w:top w:val="nil"/>
              <w:left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2A6A7E" w:rsidRDefault="002A6A7E" w:rsidP="00A8079F"/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2A6A7E" w:rsidRDefault="002A6A7E" w:rsidP="00A8079F"/>
        </w:tc>
      </w:tr>
    </w:tbl>
    <w:p w:rsidR="002A6A7E" w:rsidRDefault="002A6A7E" w:rsidP="002A6A7E">
      <w:pPr>
        <w:spacing w:after="0" w:line="240" w:lineRule="auto"/>
        <w:rPr>
          <w:b/>
        </w:rPr>
      </w:pPr>
    </w:p>
    <w:p w:rsidR="002A6A7E" w:rsidRDefault="002A6A7E" w:rsidP="002A6A7E">
      <w:pPr>
        <w:spacing w:line="240" w:lineRule="auto"/>
      </w:pPr>
      <w:r>
        <w:t xml:space="preserve">For the purposes of parameter estimation, the inheritance scalar was set to 1 for </w:t>
      </w:r>
      <w:proofErr w:type="spellStart"/>
      <w:r>
        <w:rPr>
          <w:i/>
        </w:rPr>
        <w:t>ras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</w:rPr>
        <w:t>PiAVR2</w:t>
      </w:r>
      <w:r w:rsidR="002E289C">
        <w:t>.</w:t>
      </w:r>
      <w:r>
        <w:t xml:space="preserve"> In each population pairing, the first population listed is considered to be population 1, and the second to be population 2. The parameters are as follows: </w:t>
      </w:r>
      <w:r w:rsidRPr="001636FD">
        <w:t>θ</w:t>
      </w:r>
      <w:r w:rsidRPr="00FA2DCC">
        <w:rPr>
          <w:vertAlign w:val="subscript"/>
        </w:rPr>
        <w:t>1</w:t>
      </w:r>
      <w:r>
        <w:t xml:space="preserve">: Mean population mutation rate (theta) for population 1; </w:t>
      </w:r>
      <w:r w:rsidRPr="001636FD">
        <w:t>θ</w:t>
      </w:r>
      <w:r w:rsidRPr="00FA2DCC">
        <w:rPr>
          <w:vertAlign w:val="subscript"/>
        </w:rPr>
        <w:t>2</w:t>
      </w:r>
      <w:r>
        <w:t xml:space="preserve">: Mean population mutation rate (theta) for population 2; </w:t>
      </w:r>
      <w:proofErr w:type="spellStart"/>
      <w:r w:rsidRPr="001636FD">
        <w:t>θ</w:t>
      </w:r>
      <w:r w:rsidRPr="00FA2DCC">
        <w:rPr>
          <w:vertAlign w:val="subscript"/>
        </w:rPr>
        <w:t>A</w:t>
      </w:r>
      <w:proofErr w:type="spellEnd"/>
      <w:r>
        <w:t>: Mean population mutation rate (theta) for the ancestral population; t: Mean estimation of divergence time between the populations from a common ancestor; m</w:t>
      </w:r>
      <w:r w:rsidRPr="00FA2DCC">
        <w:rPr>
          <w:vertAlign w:val="subscript"/>
        </w:rPr>
        <w:t>1</w:t>
      </w:r>
      <w:r>
        <w:t>:  Mean number of migrants into population 1; m</w:t>
      </w:r>
      <w:r w:rsidRPr="00FA2DCC">
        <w:rPr>
          <w:vertAlign w:val="subscript"/>
        </w:rPr>
        <w:t>2</w:t>
      </w:r>
      <w:r>
        <w:t xml:space="preserve">: Mean number of migrants into population 2. Values in parentheses indicate the estimated point at which 2.5% of the area of the prior distribution lies to the left or right, respectively. IM runs were set up using a 500,000 step burn-in and a recording period of 10 million steps. To achieve convergence, runs utilized metropolis coupling with 30 chains and a geometric increment model, with geometrical increment parameters of 0.8 and -0.9. A total of three runs using different random seeds </w:t>
      </w:r>
      <w:proofErr w:type="gramStart"/>
      <w:r>
        <w:t>was</w:t>
      </w:r>
      <w:proofErr w:type="gramEnd"/>
      <w:r>
        <w:t xml:space="preserve"> used for each population pairing to ensure convergence. The average of the parameters with the most optimal run for each pairing is displayed. </w:t>
      </w:r>
      <w:proofErr w:type="gramStart"/>
      <w:r>
        <w:t>Initial maxima for each parameter was</w:t>
      </w:r>
      <w:proofErr w:type="gramEnd"/>
      <w:r>
        <w:t xml:space="preserve"> set to 10 with the exception of </w:t>
      </w:r>
      <w:r w:rsidRPr="00042BAE">
        <w:t>θ</w:t>
      </w:r>
      <w:r w:rsidRPr="00042BAE">
        <w:rPr>
          <w:vertAlign w:val="subscript"/>
        </w:rPr>
        <w:t>2</w:t>
      </w:r>
      <w:r>
        <w:t xml:space="preserve"> and </w:t>
      </w:r>
      <w:proofErr w:type="spellStart"/>
      <w:r w:rsidRPr="00042BAE">
        <w:t>θ</w:t>
      </w:r>
      <w:r w:rsidRPr="00042BAE">
        <w:rPr>
          <w:vertAlign w:val="subscript"/>
        </w:rPr>
        <w:t>A</w:t>
      </w:r>
      <w:proofErr w:type="spellEnd"/>
      <w:r>
        <w:t>, which were determined by the program.</w:t>
      </w:r>
    </w:p>
    <w:p w:rsidR="00BD5F69" w:rsidRDefault="00BD5F69" w:rsidP="00752725">
      <w:pPr>
        <w:spacing w:after="0" w:line="240" w:lineRule="auto"/>
      </w:pPr>
    </w:p>
    <w:sectPr w:rsidR="00BD5F69" w:rsidSect="002A6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7E"/>
    <w:rsid w:val="002A6A7E"/>
    <w:rsid w:val="002E289C"/>
    <w:rsid w:val="002E60FD"/>
    <w:rsid w:val="005A0740"/>
    <w:rsid w:val="00743FA0"/>
    <w:rsid w:val="00752725"/>
    <w:rsid w:val="008A1366"/>
    <w:rsid w:val="00964F30"/>
    <w:rsid w:val="00BD5F69"/>
    <w:rsid w:val="00BE5A96"/>
    <w:rsid w:val="00D25C63"/>
    <w:rsid w:val="00D57E12"/>
    <w:rsid w:val="00DD1D3A"/>
    <w:rsid w:val="00F514DF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ristainolab</dc:creator>
  <cp:lastModifiedBy>ristainolab</cp:lastModifiedBy>
  <cp:revision>2</cp:revision>
  <cp:lastPrinted>2016-08-15T19:46:00Z</cp:lastPrinted>
  <dcterms:created xsi:type="dcterms:W3CDTF">2016-11-08T18:35:00Z</dcterms:created>
  <dcterms:modified xsi:type="dcterms:W3CDTF">2016-11-08T18:35:00Z</dcterms:modified>
</cp:coreProperties>
</file>