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6C558" w14:textId="77777777" w:rsidR="007D31AC" w:rsidRDefault="007D31AC" w:rsidP="007D31AC">
      <w:pPr>
        <w:spacing w:line="480" w:lineRule="auto"/>
        <w:jc w:val="both"/>
        <w:rPr>
          <w:b/>
        </w:rPr>
      </w:pPr>
      <w:bookmarkStart w:id="0" w:name="_GoBack"/>
      <w:bookmarkEnd w:id="0"/>
      <w:r>
        <w:rPr>
          <w:b/>
        </w:rPr>
        <w:t>Study Protocol</w:t>
      </w:r>
    </w:p>
    <w:p w14:paraId="363C0584" w14:textId="46397C71" w:rsidR="00F37A3D" w:rsidRDefault="00F37A3D" w:rsidP="007D31AC">
      <w:pPr>
        <w:spacing w:line="480" w:lineRule="auto"/>
        <w:jc w:val="both"/>
        <w:rPr>
          <w:b/>
        </w:rPr>
      </w:pPr>
      <w:r>
        <w:rPr>
          <w:b/>
        </w:rPr>
        <w:t>(1) Background</w:t>
      </w:r>
    </w:p>
    <w:p w14:paraId="40B6F749" w14:textId="65D27061" w:rsidR="00F37A3D" w:rsidRDefault="00F37A3D" w:rsidP="007D31AC">
      <w:pPr>
        <w:spacing w:line="480" w:lineRule="auto"/>
        <w:jc w:val="both"/>
      </w:pPr>
      <w:r w:rsidRPr="00C43E48">
        <w:t>The question of whether tre</w:t>
      </w:r>
      <w:r w:rsidRPr="00C43E48">
        <w:rPr>
          <w:rFonts w:hint="eastAsia"/>
        </w:rPr>
        <w:t>atment with continuous intra</w:t>
      </w:r>
      <w:r w:rsidRPr="00C43E48">
        <w:t>venous</w:t>
      </w:r>
      <w:r w:rsidRPr="00C43E48">
        <w:rPr>
          <w:rFonts w:hint="eastAsia"/>
        </w:rPr>
        <w:t xml:space="preserve"> infusion</w:t>
      </w:r>
      <w:r w:rsidRPr="00C43E48">
        <w:t xml:space="preserve"> </w:t>
      </w:r>
      <w:r>
        <w:t xml:space="preserve">for older patients hospitalized for heart failure </w:t>
      </w:r>
      <w:r w:rsidRPr="00C43E48">
        <w:t>causes</w:t>
      </w:r>
      <w:r w:rsidRPr="00C43E48">
        <w:rPr>
          <w:rFonts w:hint="eastAsia"/>
        </w:rPr>
        <w:t xml:space="preserve"> functional decline</w:t>
      </w:r>
      <w:r w:rsidRPr="00C43E48">
        <w:t xml:space="preserve"> has not been addressed in the literature</w:t>
      </w:r>
      <w:r w:rsidRPr="00C43E48">
        <w:rPr>
          <w:rFonts w:hint="eastAsia"/>
        </w:rPr>
        <w:t>.</w:t>
      </w:r>
    </w:p>
    <w:p w14:paraId="05782527" w14:textId="77777777" w:rsidR="0044699E" w:rsidRDefault="0044699E" w:rsidP="007D31AC">
      <w:pPr>
        <w:spacing w:line="480" w:lineRule="auto"/>
        <w:jc w:val="both"/>
      </w:pPr>
    </w:p>
    <w:p w14:paraId="1438E5BE" w14:textId="767FD6EB" w:rsidR="00F37A3D" w:rsidRPr="0044699E" w:rsidRDefault="00F37A3D" w:rsidP="007D31AC">
      <w:pPr>
        <w:spacing w:line="480" w:lineRule="auto"/>
        <w:jc w:val="both"/>
        <w:rPr>
          <w:b/>
        </w:rPr>
      </w:pPr>
      <w:r w:rsidRPr="0044699E">
        <w:rPr>
          <w:b/>
        </w:rPr>
        <w:t xml:space="preserve">(2) Objectives </w:t>
      </w:r>
    </w:p>
    <w:p w14:paraId="33DE2C04" w14:textId="77777777" w:rsidR="00F37A3D" w:rsidRDefault="00F37A3D" w:rsidP="00F37A3D">
      <w:pPr>
        <w:spacing w:line="480" w:lineRule="auto"/>
        <w:jc w:val="both"/>
      </w:pPr>
      <w:r>
        <w:t xml:space="preserve">This study aimed to </w:t>
      </w:r>
      <w:r w:rsidRPr="00C43E48">
        <w:rPr>
          <w:rFonts w:hint="eastAsia"/>
        </w:rPr>
        <w:t xml:space="preserve">test whether </w:t>
      </w:r>
      <w:r w:rsidRPr="00C43E48">
        <w:t xml:space="preserve">an </w:t>
      </w:r>
      <w:r w:rsidRPr="00C43E48">
        <w:rPr>
          <w:rFonts w:hint="eastAsia"/>
        </w:rPr>
        <w:t xml:space="preserve">early switch </w:t>
      </w:r>
      <w:r w:rsidRPr="00C43E48">
        <w:t xml:space="preserve">from </w:t>
      </w:r>
      <w:r w:rsidRPr="00C43E48">
        <w:rPr>
          <w:rFonts w:hint="eastAsia"/>
        </w:rPr>
        <w:t>intra</w:t>
      </w:r>
      <w:r w:rsidRPr="00C43E48">
        <w:t>venous</w:t>
      </w:r>
      <w:r w:rsidRPr="00C43E48">
        <w:rPr>
          <w:rFonts w:hint="eastAsia"/>
        </w:rPr>
        <w:t xml:space="preserve"> infusion</w:t>
      </w:r>
      <w:r w:rsidRPr="00C43E48">
        <w:t xml:space="preserve"> </w:t>
      </w:r>
      <w:r w:rsidRPr="00C43E48">
        <w:rPr>
          <w:rFonts w:hint="eastAsia"/>
        </w:rPr>
        <w:t>to oral treatment prevent</w:t>
      </w:r>
      <w:r w:rsidRPr="00C43E48">
        <w:t>s</w:t>
      </w:r>
      <w:r w:rsidRPr="00C43E48">
        <w:rPr>
          <w:rFonts w:hint="eastAsia"/>
        </w:rPr>
        <w:t xml:space="preserve"> functional decline in patients hospitalized for heart failure.</w:t>
      </w:r>
    </w:p>
    <w:p w14:paraId="6D3605DC" w14:textId="77777777" w:rsidR="0044699E" w:rsidRPr="00C43E48" w:rsidRDefault="0044699E" w:rsidP="00F37A3D">
      <w:pPr>
        <w:spacing w:line="480" w:lineRule="auto"/>
        <w:jc w:val="both"/>
      </w:pPr>
    </w:p>
    <w:p w14:paraId="30C0FB92" w14:textId="51D6F8F7" w:rsidR="00F37A3D" w:rsidRDefault="00F37A3D" w:rsidP="007D31AC">
      <w:pPr>
        <w:spacing w:line="480" w:lineRule="auto"/>
        <w:jc w:val="both"/>
        <w:rPr>
          <w:b/>
        </w:rPr>
      </w:pPr>
      <w:r>
        <w:rPr>
          <w:b/>
        </w:rPr>
        <w:t>(3) Methods</w:t>
      </w:r>
    </w:p>
    <w:p w14:paraId="04DB4441" w14:textId="585F18D8" w:rsidR="00F37A3D" w:rsidRDefault="00F37A3D" w:rsidP="007D31AC">
      <w:pPr>
        <w:spacing w:line="480" w:lineRule="auto"/>
        <w:jc w:val="both"/>
      </w:pPr>
      <w:r w:rsidRPr="008E4951">
        <w:rPr>
          <w:rFonts w:hint="eastAsia"/>
        </w:rPr>
        <w:t xml:space="preserve">Patients </w:t>
      </w:r>
      <w:r w:rsidR="00DE655A">
        <w:t>are</w:t>
      </w:r>
      <w:r w:rsidRPr="008E4951">
        <w:rPr>
          <w:rFonts w:hint="eastAsia"/>
        </w:rPr>
        <w:t xml:space="preserve"> initially treated with continuous </w:t>
      </w:r>
      <w:r w:rsidRPr="008E4951">
        <w:t xml:space="preserve">peripheral </w:t>
      </w:r>
      <w:r w:rsidRPr="008E4951">
        <w:rPr>
          <w:rFonts w:hint="eastAsia"/>
        </w:rPr>
        <w:t>intravenous infusion of standard HF drug such as loop diuretic</w:t>
      </w:r>
      <w:r w:rsidRPr="008E4951">
        <w:t>s</w:t>
      </w:r>
      <w:r w:rsidRPr="008E4951">
        <w:rPr>
          <w:rFonts w:hint="eastAsia"/>
        </w:rPr>
        <w:t xml:space="preserve">. Then, within two days after admission, eligible patients </w:t>
      </w:r>
      <w:r w:rsidR="00DE655A">
        <w:t>are</w:t>
      </w:r>
      <w:r w:rsidRPr="008E4951">
        <w:rPr>
          <w:rFonts w:hint="eastAsia"/>
        </w:rPr>
        <w:t xml:space="preserve"> randomized in a 1:1 </w:t>
      </w:r>
      <w:r w:rsidRPr="008E4951">
        <w:t xml:space="preserve">ratio to either continuous intravenous infusion (IV) group or oral medication (OM) group </w:t>
      </w:r>
      <w:r w:rsidRPr="008E4951">
        <w:rPr>
          <w:rFonts w:hint="eastAsia"/>
        </w:rPr>
        <w:t xml:space="preserve">using </w:t>
      </w:r>
      <w:r w:rsidRPr="008E4951">
        <w:t xml:space="preserve">computer-generated </w:t>
      </w:r>
      <w:r w:rsidRPr="008E4951">
        <w:rPr>
          <w:rFonts w:hint="eastAsia"/>
        </w:rPr>
        <w:t>permuted blocks managed by an independent study center</w:t>
      </w:r>
      <w:r>
        <w:t>, and p</w:t>
      </w:r>
      <w:r w:rsidRPr="008E4951">
        <w:rPr>
          <w:rFonts w:hint="eastAsia"/>
        </w:rPr>
        <w:t>a</w:t>
      </w:r>
      <w:r w:rsidRPr="008E4951">
        <w:t xml:space="preserve">rticipants </w:t>
      </w:r>
      <w:r w:rsidR="00DE655A">
        <w:t>undergo</w:t>
      </w:r>
      <w:r w:rsidRPr="008E4951">
        <w:t xml:space="preserve"> </w:t>
      </w:r>
      <w:r w:rsidRPr="008E4951">
        <w:rPr>
          <w:rFonts w:hint="eastAsia"/>
        </w:rPr>
        <w:t xml:space="preserve">continuation of the intravenous infusion </w:t>
      </w:r>
      <w:r w:rsidRPr="008E4951">
        <w:t xml:space="preserve">in IV group </w:t>
      </w:r>
      <w:r w:rsidRPr="008E4951">
        <w:rPr>
          <w:rFonts w:hint="eastAsia"/>
        </w:rPr>
        <w:t xml:space="preserve">or switch to the oral </w:t>
      </w:r>
      <w:r w:rsidRPr="008E4951">
        <w:t xml:space="preserve">medication in OM group.  </w:t>
      </w:r>
      <w:r w:rsidRPr="008E4951">
        <w:rPr>
          <w:rFonts w:hint="eastAsia"/>
        </w:rPr>
        <w:t xml:space="preserve">The study </w:t>
      </w:r>
      <w:r w:rsidRPr="008E4951">
        <w:t>protocol</w:t>
      </w:r>
      <w:r w:rsidRPr="008E4951">
        <w:rPr>
          <w:rFonts w:hint="eastAsia"/>
        </w:rPr>
        <w:t xml:space="preserve"> </w:t>
      </w:r>
      <w:r w:rsidRPr="00F3496C">
        <w:t>complied with the Declaration of Helsinki</w:t>
      </w:r>
      <w:r>
        <w:t>.</w:t>
      </w:r>
    </w:p>
    <w:p w14:paraId="372854B2" w14:textId="77777777" w:rsidR="00F37A3D" w:rsidRDefault="00F37A3D" w:rsidP="007D31AC">
      <w:pPr>
        <w:spacing w:line="480" w:lineRule="auto"/>
        <w:jc w:val="both"/>
        <w:rPr>
          <w:b/>
        </w:rPr>
      </w:pPr>
    </w:p>
    <w:p w14:paraId="7E92691A" w14:textId="3C69615E" w:rsidR="00F37A3D" w:rsidRDefault="00F37A3D" w:rsidP="007D31AC">
      <w:pPr>
        <w:spacing w:line="480" w:lineRule="auto"/>
        <w:jc w:val="both"/>
        <w:rPr>
          <w:b/>
        </w:rPr>
      </w:pPr>
      <w:r>
        <w:rPr>
          <w:b/>
        </w:rPr>
        <w:t>[Inclusion criteria]</w:t>
      </w:r>
    </w:p>
    <w:p w14:paraId="31C93382" w14:textId="2F19D2E4" w:rsidR="00F37A3D" w:rsidRDefault="007D31AC" w:rsidP="007D31AC">
      <w:pPr>
        <w:spacing w:line="480" w:lineRule="auto"/>
        <w:jc w:val="both"/>
      </w:pPr>
      <w:r w:rsidRPr="008E4951">
        <w:rPr>
          <w:rFonts w:hint="eastAsia"/>
        </w:rPr>
        <w:t xml:space="preserve">Eligible patients </w:t>
      </w:r>
      <w:r w:rsidR="00DE655A">
        <w:t>are</w:t>
      </w:r>
      <w:r w:rsidRPr="008E4951">
        <w:rPr>
          <w:rFonts w:hint="eastAsia"/>
        </w:rPr>
        <w:t xml:space="preserve"> 20 years of age or older hospitalized for acute decompensated </w:t>
      </w:r>
      <w:r w:rsidRPr="008E4951">
        <w:t>HF</w:t>
      </w:r>
      <w:r w:rsidRPr="008E4951">
        <w:rPr>
          <w:rFonts w:hint="eastAsia"/>
        </w:rPr>
        <w:t xml:space="preserve"> or exacerbation of chronic </w:t>
      </w:r>
      <w:r w:rsidRPr="008E4951">
        <w:t>HF</w:t>
      </w:r>
      <w:r w:rsidRPr="008E4951">
        <w:rPr>
          <w:rFonts w:hint="eastAsia"/>
        </w:rPr>
        <w:t xml:space="preserve"> from any cause presenting signs of volume expansion and New York Heart Association class II to IV symptoms. </w:t>
      </w:r>
    </w:p>
    <w:p w14:paraId="5348F181" w14:textId="77777777" w:rsidR="00DE655A" w:rsidRDefault="00DE655A" w:rsidP="007D31AC">
      <w:pPr>
        <w:spacing w:line="480" w:lineRule="auto"/>
        <w:jc w:val="both"/>
        <w:rPr>
          <w:b/>
        </w:rPr>
      </w:pPr>
    </w:p>
    <w:p w14:paraId="55EC31A7" w14:textId="77777777" w:rsidR="00F37A3D" w:rsidRPr="00F37A3D" w:rsidRDefault="00F37A3D" w:rsidP="007D31AC">
      <w:pPr>
        <w:spacing w:line="480" w:lineRule="auto"/>
        <w:jc w:val="both"/>
        <w:rPr>
          <w:b/>
        </w:rPr>
      </w:pPr>
      <w:r w:rsidRPr="00F37A3D">
        <w:rPr>
          <w:b/>
        </w:rPr>
        <w:t>[</w:t>
      </w:r>
      <w:r w:rsidR="007D31AC" w:rsidRPr="00F37A3D">
        <w:rPr>
          <w:b/>
        </w:rPr>
        <w:t>Exclusion criteria</w:t>
      </w:r>
      <w:r w:rsidRPr="00F37A3D">
        <w:rPr>
          <w:b/>
        </w:rPr>
        <w:t>]</w:t>
      </w:r>
    </w:p>
    <w:p w14:paraId="3D89EE78" w14:textId="77777777" w:rsidR="00F37A3D" w:rsidRDefault="00F37A3D" w:rsidP="007D31AC">
      <w:pPr>
        <w:spacing w:line="480" w:lineRule="auto"/>
        <w:jc w:val="both"/>
      </w:pPr>
      <w:r>
        <w:lastRenderedPageBreak/>
        <w:t>A</w:t>
      </w:r>
      <w:r w:rsidR="007D31AC" w:rsidRPr="008E4951">
        <w:rPr>
          <w:rFonts w:hint="eastAsia"/>
        </w:rPr>
        <w:t>cute myocardial infarction at the time of hospitalization</w:t>
      </w:r>
      <w:r w:rsidR="007D31AC" w:rsidRPr="008E4951">
        <w:t xml:space="preserve">, </w:t>
      </w:r>
      <w:r w:rsidR="007D31AC" w:rsidRPr="008E4951">
        <w:rPr>
          <w:rFonts w:hint="eastAsia"/>
        </w:rPr>
        <w:t>hemofiltration or dialysis</w:t>
      </w:r>
      <w:r w:rsidR="007D31AC" w:rsidRPr="008E4951">
        <w:t>,</w:t>
      </w:r>
      <w:r w:rsidR="007D31AC" w:rsidRPr="008E4951">
        <w:rPr>
          <w:rFonts w:hint="eastAsia"/>
        </w:rPr>
        <w:t xml:space="preserve"> </w:t>
      </w:r>
      <w:r w:rsidR="007D31AC" w:rsidRPr="008E4951">
        <w:t xml:space="preserve">and </w:t>
      </w:r>
      <w:r w:rsidR="007D31AC" w:rsidRPr="008E4951">
        <w:rPr>
          <w:rFonts w:hint="eastAsia"/>
        </w:rPr>
        <w:t>systolic arterial blood pressure less than 90 mmHg</w:t>
      </w:r>
      <w:r w:rsidR="007D31AC" w:rsidRPr="008E4951">
        <w:t xml:space="preserve">. Patients who need continuous fluid replacement and/ or inotropic agent are also excluded from this study.  </w:t>
      </w:r>
    </w:p>
    <w:p w14:paraId="4077F86E" w14:textId="77777777" w:rsidR="00F37A3D" w:rsidRDefault="00F37A3D" w:rsidP="007D31AC">
      <w:pPr>
        <w:spacing w:line="480" w:lineRule="auto"/>
        <w:jc w:val="both"/>
      </w:pPr>
    </w:p>
    <w:p w14:paraId="3C404582" w14:textId="183C44AD" w:rsidR="00F37A3D" w:rsidRPr="008E4951" w:rsidRDefault="00F37A3D" w:rsidP="00F37A3D">
      <w:pPr>
        <w:spacing w:line="480" w:lineRule="auto"/>
        <w:jc w:val="both"/>
        <w:rPr>
          <w:b/>
        </w:rPr>
      </w:pPr>
      <w:r>
        <w:rPr>
          <w:b/>
        </w:rPr>
        <w:t>[</w:t>
      </w:r>
      <w:r w:rsidRPr="008E4951">
        <w:rPr>
          <w:b/>
        </w:rPr>
        <w:t>Primary End Point</w:t>
      </w:r>
      <w:r>
        <w:rPr>
          <w:b/>
        </w:rPr>
        <w:t>]</w:t>
      </w:r>
    </w:p>
    <w:p w14:paraId="08B7592E" w14:textId="7CCC5AFD" w:rsidR="00F37A3D" w:rsidRPr="008E4951" w:rsidRDefault="00DE655A" w:rsidP="00F37A3D">
      <w:pPr>
        <w:spacing w:line="480" w:lineRule="auto"/>
        <w:jc w:val="both"/>
      </w:pPr>
      <w:r>
        <w:t>T</w:t>
      </w:r>
      <w:r w:rsidR="00F37A3D" w:rsidRPr="008E4951">
        <w:rPr>
          <w:rFonts w:hint="eastAsia"/>
        </w:rPr>
        <w:t>he Barthel Index (BI)</w:t>
      </w:r>
      <w:r w:rsidR="00F37A3D" w:rsidRPr="008E4951">
        <w:t xml:space="preserve"> </w:t>
      </w:r>
      <w:r>
        <w:t xml:space="preserve">is </w:t>
      </w:r>
      <w:r w:rsidR="00F37A3D" w:rsidRPr="008E4951">
        <w:rPr>
          <w:rFonts w:hint="eastAsia"/>
        </w:rPr>
        <w:t>assess</w:t>
      </w:r>
      <w:r w:rsidR="00F37A3D" w:rsidRPr="008E4951">
        <w:t>ed as th</w:t>
      </w:r>
      <w:r w:rsidR="00F37A3D" w:rsidRPr="008E4951">
        <w:rPr>
          <w:rFonts w:hint="eastAsia"/>
        </w:rPr>
        <w:t>e primary end point at day 10 or the last day before discharge</w:t>
      </w:r>
      <w:r w:rsidR="00F37A3D" w:rsidRPr="008E4951">
        <w:t xml:space="preserve"> if patients discharged earlier than day 10</w:t>
      </w:r>
      <w:r w:rsidR="00F37A3D" w:rsidRPr="008E4951">
        <w:rPr>
          <w:rFonts w:hint="eastAsia"/>
        </w:rPr>
        <w:t xml:space="preserve">. </w:t>
      </w:r>
      <w:r w:rsidR="00F37A3D" w:rsidRPr="008E4951">
        <w:t xml:space="preserve"> </w:t>
      </w:r>
    </w:p>
    <w:p w14:paraId="7CE50217" w14:textId="77777777" w:rsidR="00F37A3D" w:rsidRPr="008E4951" w:rsidRDefault="00F37A3D" w:rsidP="00F37A3D">
      <w:pPr>
        <w:spacing w:line="480" w:lineRule="auto"/>
        <w:jc w:val="both"/>
        <w:rPr>
          <w:b/>
        </w:rPr>
      </w:pPr>
    </w:p>
    <w:p w14:paraId="788E1806" w14:textId="74A90E5B" w:rsidR="00F37A3D" w:rsidRPr="008E4951" w:rsidRDefault="00F37A3D" w:rsidP="00F37A3D">
      <w:pPr>
        <w:spacing w:line="480" w:lineRule="auto"/>
        <w:jc w:val="both"/>
        <w:rPr>
          <w:b/>
        </w:rPr>
      </w:pPr>
      <w:r>
        <w:rPr>
          <w:b/>
        </w:rPr>
        <w:t>[</w:t>
      </w:r>
      <w:r w:rsidRPr="008E4951">
        <w:rPr>
          <w:b/>
        </w:rPr>
        <w:t>Secondary End Points</w:t>
      </w:r>
      <w:r>
        <w:rPr>
          <w:b/>
        </w:rPr>
        <w:t>]</w:t>
      </w:r>
    </w:p>
    <w:p w14:paraId="4F47E803" w14:textId="405C8DED" w:rsidR="005E5819" w:rsidRDefault="00F37A3D" w:rsidP="00F37A3D">
      <w:pPr>
        <w:spacing w:line="480" w:lineRule="auto"/>
        <w:jc w:val="both"/>
      </w:pPr>
      <w:r w:rsidRPr="008E4951">
        <w:rPr>
          <w:rFonts w:hint="eastAsia"/>
        </w:rPr>
        <w:t>The second end points includ</w:t>
      </w:r>
      <w:r w:rsidR="00DE655A">
        <w:t>e</w:t>
      </w:r>
      <w:r w:rsidRPr="008E4951">
        <w:rPr>
          <w:rFonts w:hint="eastAsia"/>
        </w:rPr>
        <w:t xml:space="preserve"> Functional Independent Measure (FIM)</w:t>
      </w:r>
      <w:r w:rsidRPr="008E4951">
        <w:t xml:space="preserve"> and its</w:t>
      </w:r>
      <w:r w:rsidRPr="008E4951">
        <w:rPr>
          <w:rFonts w:hint="eastAsia"/>
        </w:rPr>
        <w:t xml:space="preserve"> sub</w:t>
      </w:r>
      <w:r w:rsidRPr="008E4951">
        <w:t>scales</w:t>
      </w:r>
      <w:r w:rsidRPr="008E4951">
        <w:rPr>
          <w:rFonts w:hint="eastAsia"/>
        </w:rPr>
        <w:t xml:space="preserve"> </w:t>
      </w:r>
      <w:r w:rsidRPr="008E4951">
        <w:t xml:space="preserve">in which both motor and cognitive function are able to be analyzed. Health-related QOL </w:t>
      </w:r>
      <w:r w:rsidR="00DE655A">
        <w:t>is</w:t>
      </w:r>
      <w:r w:rsidRPr="008E4951">
        <w:t xml:space="preserve"> assessed with the 36-item Short-Form General Health Survey (</w:t>
      </w:r>
      <w:r w:rsidRPr="008E4951">
        <w:rPr>
          <w:rFonts w:hint="eastAsia"/>
        </w:rPr>
        <w:t>SF-36</w:t>
      </w:r>
      <w:r w:rsidRPr="008E4951">
        <w:t xml:space="preserve">v2). Daily steps </w:t>
      </w:r>
      <w:r w:rsidR="00DE655A">
        <w:t>were</w:t>
      </w:r>
      <w:r w:rsidRPr="008E4951">
        <w:t xml:space="preserve"> measured by pedometers until day 10 to assess </w:t>
      </w:r>
      <w:r w:rsidRPr="008E4951">
        <w:rPr>
          <w:rFonts w:hint="eastAsia"/>
        </w:rPr>
        <w:t>amount of activity</w:t>
      </w:r>
      <w:r w:rsidRPr="008E4951">
        <w:t xml:space="preserve"> in hospital. L</w:t>
      </w:r>
      <w:r w:rsidRPr="008E4951">
        <w:rPr>
          <w:rFonts w:hint="eastAsia"/>
        </w:rPr>
        <w:t xml:space="preserve">ength of hospital stay, costs of admission, and place </w:t>
      </w:r>
      <w:r w:rsidRPr="008E4951">
        <w:t xml:space="preserve">where patients </w:t>
      </w:r>
      <w:r w:rsidRPr="008E4951">
        <w:rPr>
          <w:rFonts w:hint="eastAsia"/>
        </w:rPr>
        <w:t>discharged from the trial hospital</w:t>
      </w:r>
      <w:r w:rsidRPr="008E4951">
        <w:t xml:space="preserve"> </w:t>
      </w:r>
      <w:r w:rsidR="00DE655A">
        <w:t>are</w:t>
      </w:r>
      <w:r w:rsidRPr="008E4951">
        <w:t xml:space="preserve"> also assessed</w:t>
      </w:r>
      <w:r w:rsidRPr="008E4951">
        <w:rPr>
          <w:rFonts w:hint="eastAsia"/>
        </w:rPr>
        <w:t xml:space="preserve">. </w:t>
      </w:r>
    </w:p>
    <w:p w14:paraId="4C8BA7B5" w14:textId="77777777" w:rsidR="0044699E" w:rsidRPr="008E4951" w:rsidRDefault="0044699E" w:rsidP="00F37A3D">
      <w:pPr>
        <w:spacing w:line="480" w:lineRule="auto"/>
        <w:jc w:val="both"/>
      </w:pPr>
    </w:p>
    <w:p w14:paraId="72850851" w14:textId="644FC349" w:rsidR="00F37A3D" w:rsidRDefault="00F37A3D" w:rsidP="007D31AC">
      <w:pPr>
        <w:spacing w:line="480" w:lineRule="auto"/>
        <w:jc w:val="both"/>
      </w:pPr>
      <w:r>
        <w:t>[</w:t>
      </w:r>
      <w:r w:rsidRPr="005E5819">
        <w:rPr>
          <w:b/>
        </w:rPr>
        <w:t>Measurements</w:t>
      </w:r>
      <w:r>
        <w:t>]</w:t>
      </w:r>
    </w:p>
    <w:p w14:paraId="30FA7832" w14:textId="77777777" w:rsidR="00F37A3D" w:rsidRDefault="00F37A3D" w:rsidP="00F37A3D">
      <w:pPr>
        <w:spacing w:line="480" w:lineRule="auto"/>
        <w:jc w:val="both"/>
      </w:pPr>
      <w:r>
        <w:t>1) Baseline characteristics</w:t>
      </w:r>
    </w:p>
    <w:p w14:paraId="5470FD20" w14:textId="686E9695" w:rsidR="000C18D8" w:rsidRDefault="00F37A3D" w:rsidP="00F37A3D">
      <w:pPr>
        <w:spacing w:line="480" w:lineRule="auto"/>
        <w:jc w:val="both"/>
      </w:pPr>
      <w:r>
        <w:t xml:space="preserve">    Age, sex, NYHA classification, sBP, dBP, HR, Etiology of HF, Comorbidity</w:t>
      </w:r>
      <w:r w:rsidR="000C18D8">
        <w:t>.</w:t>
      </w:r>
    </w:p>
    <w:p w14:paraId="0584E4FB" w14:textId="0C81DA81" w:rsidR="00F37A3D" w:rsidRDefault="000C18D8" w:rsidP="00F37A3D">
      <w:pPr>
        <w:spacing w:line="480" w:lineRule="auto"/>
        <w:jc w:val="both"/>
      </w:pPr>
      <w:r>
        <w:t xml:space="preserve">2) </w:t>
      </w:r>
      <w:r w:rsidR="00F37A3D">
        <w:t>Dose of IV diuretics prior to randomization.</w:t>
      </w:r>
    </w:p>
    <w:p w14:paraId="2576814F" w14:textId="0F3451DD" w:rsidR="00F37A3D" w:rsidRDefault="000C18D8" w:rsidP="00F37A3D">
      <w:pPr>
        <w:spacing w:line="480" w:lineRule="auto"/>
        <w:jc w:val="both"/>
      </w:pPr>
      <w:r>
        <w:t>3) Physical examination</w:t>
      </w:r>
    </w:p>
    <w:p w14:paraId="6CA84A39" w14:textId="376B79C5" w:rsidR="000C18D8" w:rsidRDefault="000C18D8" w:rsidP="00F37A3D">
      <w:pPr>
        <w:spacing w:line="480" w:lineRule="auto"/>
        <w:jc w:val="both"/>
      </w:pPr>
      <w:r>
        <w:t>4) Plasma/serum variables (Creatinine, eGFR, Hemoglobin, BNP),</w:t>
      </w:r>
    </w:p>
    <w:p w14:paraId="07F80219" w14:textId="67D03A40" w:rsidR="00F37A3D" w:rsidRDefault="000C18D8" w:rsidP="007D31AC">
      <w:pPr>
        <w:spacing w:line="480" w:lineRule="auto"/>
        <w:jc w:val="both"/>
      </w:pPr>
      <w:r>
        <w:t>5) Urine variables</w:t>
      </w:r>
    </w:p>
    <w:p w14:paraId="6303B703" w14:textId="581925F1" w:rsidR="00F37A3D" w:rsidRDefault="000C18D8" w:rsidP="007D31AC">
      <w:pPr>
        <w:spacing w:line="480" w:lineRule="auto"/>
        <w:jc w:val="both"/>
      </w:pPr>
      <w:r>
        <w:t>6) Echocardiogram (Ejection Fraction, eRVPs)</w:t>
      </w:r>
    </w:p>
    <w:p w14:paraId="5FF5107C" w14:textId="77777777" w:rsidR="00DE655A" w:rsidRDefault="00DE655A" w:rsidP="007D31AC">
      <w:pPr>
        <w:spacing w:line="480" w:lineRule="auto"/>
        <w:jc w:val="both"/>
        <w:rPr>
          <w:b/>
        </w:rPr>
      </w:pPr>
    </w:p>
    <w:p w14:paraId="46EBDB00" w14:textId="05197EBA" w:rsidR="007D31AC" w:rsidRDefault="005E5819" w:rsidP="007D31AC">
      <w:pPr>
        <w:spacing w:line="480" w:lineRule="auto"/>
        <w:jc w:val="both"/>
        <w:rPr>
          <w:b/>
        </w:rPr>
      </w:pPr>
      <w:r>
        <w:rPr>
          <w:b/>
        </w:rPr>
        <w:lastRenderedPageBreak/>
        <w:t>[Evaluation</w:t>
      </w:r>
      <w:r w:rsidR="004A6C7C">
        <w:rPr>
          <w:b/>
        </w:rPr>
        <w:t xml:space="preserve"> time course</w:t>
      </w:r>
      <w:r>
        <w:rPr>
          <w:b/>
        </w:rPr>
        <w:t>]</w:t>
      </w:r>
    </w:p>
    <w:tbl>
      <w:tblPr>
        <w:tblW w:w="621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1"/>
        <w:gridCol w:w="1417"/>
        <w:gridCol w:w="1559"/>
        <w:gridCol w:w="1418"/>
        <w:gridCol w:w="1398"/>
      </w:tblGrid>
      <w:tr w:rsidR="004A6C7C" w:rsidRPr="005E5819" w14:paraId="13066E14" w14:textId="77777777" w:rsidTr="00DE655A">
        <w:trPr>
          <w:trHeight w:val="424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05499" w14:textId="18C006D5" w:rsidR="004A6C7C" w:rsidRPr="005E5819" w:rsidRDefault="004A6C7C" w:rsidP="005E5819">
            <w:pPr>
              <w:jc w:val="center"/>
              <w:rPr>
                <w:rFonts w:ascii="Century" w:hAnsi="Century" w:cs="MS PGothic"/>
                <w:color w:val="000000"/>
                <w:sz w:val="21"/>
              </w:rPr>
            </w:pPr>
            <w:r w:rsidRPr="005E5819">
              <w:rPr>
                <w:rFonts w:ascii="Century" w:hAnsi="Century" w:cs="MS PGothic"/>
                <w:color w:val="000000"/>
                <w:sz w:val="21"/>
              </w:rPr>
              <w:t xml:space="preserve">　</w:t>
            </w:r>
            <w:r>
              <w:rPr>
                <w:rFonts w:ascii="Century" w:hAnsi="Century" w:cs="Arial"/>
                <w:color w:val="000000"/>
                <w:sz w:val="21"/>
              </w:rPr>
              <w:t>Day(s)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8164" w14:textId="6289E256" w:rsidR="004A6C7C" w:rsidRPr="005E5819" w:rsidRDefault="004A6C7C" w:rsidP="005E5819">
            <w:pPr>
              <w:jc w:val="center"/>
              <w:rPr>
                <w:rFonts w:ascii="Century" w:hAnsi="Century" w:cs="Arial"/>
                <w:color w:val="000000"/>
                <w:sz w:val="21"/>
              </w:rPr>
            </w:pPr>
            <w:r w:rsidRPr="005E5819">
              <w:rPr>
                <w:rFonts w:ascii="Century" w:hAnsi="Century" w:cs="Arial" w:hint="eastAsia"/>
                <w:color w:val="000000"/>
                <w:sz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F93A0" w14:textId="78A04592" w:rsidR="004A6C7C" w:rsidRPr="005E5819" w:rsidRDefault="004A6C7C" w:rsidP="005E5819">
            <w:pPr>
              <w:ind w:left="-74" w:rightChars="-30" w:right="-72"/>
              <w:jc w:val="center"/>
              <w:rPr>
                <w:rFonts w:ascii="Century" w:hAnsi="Century" w:cs="Arial"/>
                <w:color w:val="000000"/>
                <w:sz w:val="21"/>
              </w:rPr>
            </w:pPr>
            <w:r>
              <w:rPr>
                <w:rFonts w:ascii="Century" w:hAnsi="Century" w:cs="Arial"/>
                <w:color w:val="000000"/>
                <w:sz w:val="21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7D4AB" w14:textId="5DE59457" w:rsidR="004A6C7C" w:rsidRPr="005E5819" w:rsidRDefault="004A6C7C" w:rsidP="005E5819">
            <w:pPr>
              <w:ind w:left="-74" w:rightChars="-30" w:right="-72"/>
              <w:jc w:val="center"/>
              <w:rPr>
                <w:rFonts w:ascii="Century" w:hAnsi="Century" w:cs="Arial"/>
                <w:color w:val="000000"/>
                <w:sz w:val="21"/>
              </w:rPr>
            </w:pPr>
            <w:r>
              <w:rPr>
                <w:rFonts w:ascii="Century" w:hAnsi="Century" w:cs="Arial"/>
                <w:color w:val="000000"/>
                <w:sz w:val="21"/>
              </w:rPr>
              <w:t xml:space="preserve">10 or </w:t>
            </w:r>
            <w:r>
              <w:rPr>
                <w:rFonts w:ascii="Century" w:hAnsi="Century" w:cs="Arial" w:hint="eastAsia"/>
                <w:color w:val="000000"/>
                <w:sz w:val="21"/>
              </w:rPr>
              <w:t>discharge</w:t>
            </w:r>
          </w:p>
        </w:tc>
      </w:tr>
      <w:tr w:rsidR="004A6C7C" w:rsidRPr="005E5819" w14:paraId="47879316" w14:textId="77777777" w:rsidTr="00DE655A">
        <w:trPr>
          <w:trHeight w:val="332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76E5B" w14:textId="3A98FF85" w:rsidR="004A6C7C" w:rsidRPr="005E5819" w:rsidRDefault="004A6C7C" w:rsidP="005E5819">
            <w:pPr>
              <w:rPr>
                <w:rFonts w:ascii="Century" w:hAnsi="Century" w:cs="MS PGothic"/>
                <w:color w:val="000000"/>
                <w:sz w:val="21"/>
              </w:rPr>
            </w:pPr>
            <w:r>
              <w:rPr>
                <w:rFonts w:ascii="Century" w:hAnsi="Century" w:cs="MS PGothic" w:hint="eastAsia"/>
                <w:color w:val="000000"/>
                <w:sz w:val="21"/>
              </w:rPr>
              <w:t>U</w:t>
            </w:r>
            <w:r>
              <w:rPr>
                <w:rFonts w:ascii="Century" w:hAnsi="Century" w:cs="MS PGothic"/>
                <w:color w:val="000000"/>
                <w:sz w:val="21"/>
              </w:rPr>
              <w:t>rine Volume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669A8" w14:textId="62AF6BF9" w:rsidR="004A6C7C" w:rsidRPr="005E5819" w:rsidRDefault="004A6C7C" w:rsidP="005E5819">
            <w:pPr>
              <w:jc w:val="center"/>
              <w:rPr>
                <w:rFonts w:ascii="Century" w:hAnsi="Century" w:cs="MS PGothic"/>
                <w:color w:val="000000"/>
                <w:sz w:val="21"/>
              </w:rPr>
            </w:pPr>
            <w:r>
              <w:rPr>
                <w:rFonts w:ascii="Century" w:hAnsi="Century" w:cs="MS PGothic"/>
                <w:noProof/>
                <w:color w:val="00000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21BC833" wp14:editId="55FC0B2C">
                      <wp:simplePos x="0" y="0"/>
                      <wp:positionH relativeFrom="column">
                        <wp:posOffset>273241</wp:posOffset>
                      </wp:positionH>
                      <wp:positionV relativeFrom="paragraph">
                        <wp:posOffset>84130</wp:posOffset>
                      </wp:positionV>
                      <wp:extent cx="2073349" cy="0"/>
                      <wp:effectExtent l="0" t="95250" r="0" b="9525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3349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09B6A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1" o:spid="_x0000_s1026" type="#_x0000_t32" style="position:absolute;margin-left:21.5pt;margin-top:6.6pt;width:163.25pt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" strokecolor="black [3213]" strokeweight="2.2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02D5F" w14:textId="77777777" w:rsidR="004A6C7C" w:rsidRPr="005E5819" w:rsidRDefault="004A6C7C" w:rsidP="005E5819">
            <w:pPr>
              <w:jc w:val="center"/>
              <w:rPr>
                <w:rFonts w:ascii="Century" w:hAnsi="Century" w:cs="MS PGothic"/>
                <w:color w:val="000000"/>
                <w:sz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BE7C7" w14:textId="77777777" w:rsidR="004A6C7C" w:rsidRPr="005E5819" w:rsidRDefault="004A6C7C" w:rsidP="005E5819">
            <w:pPr>
              <w:jc w:val="center"/>
              <w:rPr>
                <w:rFonts w:ascii="Century" w:hAnsi="Century" w:cs="MS PGothic"/>
                <w:color w:val="000000"/>
                <w:sz w:val="21"/>
              </w:rPr>
            </w:pPr>
          </w:p>
        </w:tc>
      </w:tr>
      <w:tr w:rsidR="004A6C7C" w:rsidRPr="005E5819" w14:paraId="3D649759" w14:textId="77777777" w:rsidTr="00DE655A">
        <w:trPr>
          <w:trHeight w:val="337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28C02" w14:textId="5076D9FB" w:rsidR="004A6C7C" w:rsidRPr="005E5819" w:rsidRDefault="004A6C7C" w:rsidP="005E5819">
            <w:pPr>
              <w:rPr>
                <w:rFonts w:ascii="Century" w:hAnsi="Century" w:cs="MS PGothic"/>
                <w:color w:val="000000"/>
                <w:sz w:val="21"/>
              </w:rPr>
            </w:pPr>
            <w:r>
              <w:rPr>
                <w:rFonts w:ascii="Century" w:hAnsi="Century" w:cs="MS PGothic" w:hint="eastAsia"/>
                <w:color w:val="000000"/>
                <w:sz w:val="21"/>
              </w:rPr>
              <w:t>Water</w:t>
            </w:r>
            <w:r>
              <w:rPr>
                <w:rFonts w:ascii="Century" w:hAnsi="Century" w:cs="MS PGothic"/>
                <w:color w:val="000000"/>
                <w:sz w:val="21"/>
              </w:rPr>
              <w:t xml:space="preserve"> i</w:t>
            </w:r>
            <w:r>
              <w:rPr>
                <w:rFonts w:ascii="Century" w:hAnsi="Century" w:cs="MS PGothic" w:hint="eastAsia"/>
                <w:color w:val="000000"/>
                <w:sz w:val="21"/>
              </w:rPr>
              <w:t>ntake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D451" w14:textId="2606AB5F" w:rsidR="004A6C7C" w:rsidRPr="005E5819" w:rsidRDefault="004A6C7C" w:rsidP="005E5819">
            <w:pPr>
              <w:jc w:val="center"/>
              <w:rPr>
                <w:rFonts w:ascii="Century" w:hAnsi="Century" w:cs="MS PGothic"/>
                <w:color w:val="000000"/>
                <w:sz w:val="21"/>
              </w:rPr>
            </w:pPr>
            <w:r>
              <w:rPr>
                <w:rFonts w:ascii="Century" w:hAnsi="Century" w:cs="MS PGothic"/>
                <w:noProof/>
                <w:color w:val="00000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8E92936" wp14:editId="199E4A44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65405</wp:posOffset>
                      </wp:positionV>
                      <wp:extent cx="2073275" cy="0"/>
                      <wp:effectExtent l="0" t="95250" r="0" b="95250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3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8AF6A" id="直線矢印コネクタ 12" o:spid="_x0000_s1026" type="#_x0000_t32" style="position:absolute;margin-left:21.3pt;margin-top:5.15pt;width:163.2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" strokecolor="windowText" strokeweight="2.2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7F187" w14:textId="77777777" w:rsidR="004A6C7C" w:rsidRPr="005E5819" w:rsidRDefault="004A6C7C" w:rsidP="005E5819">
            <w:pPr>
              <w:jc w:val="center"/>
              <w:rPr>
                <w:rFonts w:ascii="Century" w:hAnsi="Century" w:cs="MS PGothic"/>
                <w:color w:val="000000"/>
                <w:sz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5E239" w14:textId="77777777" w:rsidR="004A6C7C" w:rsidRPr="005E5819" w:rsidRDefault="004A6C7C" w:rsidP="005E5819">
            <w:pPr>
              <w:jc w:val="center"/>
              <w:rPr>
                <w:rFonts w:ascii="Century" w:hAnsi="Century" w:cs="MS PGothic"/>
                <w:color w:val="000000"/>
                <w:sz w:val="21"/>
              </w:rPr>
            </w:pPr>
          </w:p>
        </w:tc>
      </w:tr>
      <w:tr w:rsidR="004A6C7C" w:rsidRPr="005E5819" w14:paraId="1EF628F4" w14:textId="77777777" w:rsidTr="00DE655A">
        <w:trPr>
          <w:trHeight w:val="328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F07E0" w14:textId="22573C08" w:rsidR="004A6C7C" w:rsidRPr="005E5819" w:rsidRDefault="004A6C7C" w:rsidP="005E5819">
            <w:pPr>
              <w:rPr>
                <w:rFonts w:ascii="Century" w:hAnsi="Century" w:cs="MS PGothic"/>
                <w:color w:val="000000"/>
                <w:sz w:val="21"/>
              </w:rPr>
            </w:pPr>
            <w:r>
              <w:rPr>
                <w:rFonts w:ascii="Century" w:hAnsi="Century" w:cs="MS PGothic" w:hint="eastAsia"/>
                <w:color w:val="000000"/>
                <w:sz w:val="21"/>
              </w:rPr>
              <w:t>Body weight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9B3C" w14:textId="203E535A" w:rsidR="004A6C7C" w:rsidRPr="005E5819" w:rsidRDefault="004A6C7C" w:rsidP="005E5819">
            <w:pPr>
              <w:jc w:val="center"/>
              <w:rPr>
                <w:rFonts w:ascii="Century" w:hAnsi="Century" w:cs="MS PGothic"/>
                <w:color w:val="000000"/>
                <w:sz w:val="21"/>
              </w:rPr>
            </w:pPr>
            <w:r>
              <w:rPr>
                <w:rFonts w:ascii="Century" w:hAnsi="Century" w:cs="MS PGothic"/>
                <w:noProof/>
                <w:color w:val="00000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1CE7C200" wp14:editId="3F7B40A0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58420</wp:posOffset>
                      </wp:positionV>
                      <wp:extent cx="2073275" cy="0"/>
                      <wp:effectExtent l="0" t="95250" r="0" b="95250"/>
                      <wp:wrapNone/>
                      <wp:docPr id="15" name="直線矢印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3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7C5CC" id="直線矢印コネクタ 15" o:spid="_x0000_s1026" type="#_x0000_t32" style="position:absolute;margin-left:22.9pt;margin-top:4.6pt;width:163.25pt;height: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" strokecolor="windowText" strokeweight="2.2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90A9C" w14:textId="1C3E61E5" w:rsidR="004A6C7C" w:rsidRPr="005E5819" w:rsidRDefault="004A6C7C" w:rsidP="005E5819">
            <w:pPr>
              <w:jc w:val="center"/>
              <w:rPr>
                <w:rFonts w:ascii="Century" w:hAnsi="Century" w:cs="MS PGothic"/>
                <w:color w:val="000000"/>
                <w:sz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886BF" w14:textId="77777777" w:rsidR="004A6C7C" w:rsidRPr="005E5819" w:rsidRDefault="004A6C7C" w:rsidP="005E5819">
            <w:pPr>
              <w:jc w:val="center"/>
              <w:rPr>
                <w:rFonts w:ascii="Century" w:hAnsi="Century" w:cs="MS PGothic"/>
                <w:color w:val="000000"/>
                <w:sz w:val="21"/>
              </w:rPr>
            </w:pPr>
          </w:p>
        </w:tc>
      </w:tr>
      <w:tr w:rsidR="004A6C7C" w:rsidRPr="005E5819" w14:paraId="7FA7B443" w14:textId="77777777" w:rsidTr="00DE655A">
        <w:trPr>
          <w:trHeight w:val="321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DCAC4" w14:textId="76107913" w:rsidR="004A6C7C" w:rsidRPr="005E5819" w:rsidRDefault="004A6C7C" w:rsidP="005E5819">
            <w:pPr>
              <w:rPr>
                <w:rFonts w:ascii="Century" w:hAnsi="Century" w:cs="MS PGothic"/>
                <w:color w:val="000000"/>
                <w:sz w:val="21"/>
              </w:rPr>
            </w:pPr>
            <w:r>
              <w:rPr>
                <w:rFonts w:ascii="Century" w:hAnsi="Century" w:cs="MS PGothic" w:hint="eastAsia"/>
                <w:color w:val="000000"/>
                <w:sz w:val="21"/>
              </w:rPr>
              <w:t>BP HR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8466" w14:textId="07BAC781" w:rsidR="004A6C7C" w:rsidRPr="005E5819" w:rsidRDefault="004A6C7C" w:rsidP="005E5819">
            <w:pPr>
              <w:jc w:val="center"/>
              <w:rPr>
                <w:rFonts w:ascii="Century" w:hAnsi="Century" w:cs="MS PGothic"/>
                <w:color w:val="000000"/>
                <w:sz w:val="21"/>
              </w:rPr>
            </w:pPr>
            <w:r>
              <w:rPr>
                <w:rFonts w:ascii="Century" w:hAnsi="Century" w:cs="MS PGothic"/>
                <w:noProof/>
                <w:color w:val="000000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5A35286" wp14:editId="70F99132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27940</wp:posOffset>
                      </wp:positionV>
                      <wp:extent cx="2073275" cy="0"/>
                      <wp:effectExtent l="0" t="95250" r="0" b="95250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3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199C6" id="直線矢印コネクタ 14" o:spid="_x0000_s1026" type="#_x0000_t32" style="position:absolute;margin-left:22.9pt;margin-top:2.2pt;width:163.25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" strokecolor="windowText" strokeweight="2.2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0488" w14:textId="77777777" w:rsidR="004A6C7C" w:rsidRPr="005E5819" w:rsidRDefault="004A6C7C" w:rsidP="005E5819">
            <w:pPr>
              <w:ind w:firstLineChars="400" w:firstLine="840"/>
              <w:jc w:val="both"/>
              <w:rPr>
                <w:rFonts w:ascii="Century" w:hAnsi="Century" w:cs="MS PGothic"/>
                <w:color w:val="000000"/>
                <w:sz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B4089" w14:textId="77777777" w:rsidR="004A6C7C" w:rsidRPr="005E5819" w:rsidRDefault="004A6C7C" w:rsidP="005E5819">
            <w:pPr>
              <w:jc w:val="center"/>
              <w:rPr>
                <w:rFonts w:ascii="Century" w:hAnsi="Century" w:cs="MS PGothic"/>
                <w:color w:val="000000"/>
                <w:sz w:val="21"/>
              </w:rPr>
            </w:pPr>
          </w:p>
        </w:tc>
      </w:tr>
      <w:tr w:rsidR="004A6C7C" w:rsidRPr="005E5819" w14:paraId="223507F7" w14:textId="77777777" w:rsidTr="00DE655A">
        <w:trPr>
          <w:trHeight w:val="185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B6F24" w14:textId="77777777" w:rsidR="004A6C7C" w:rsidRPr="005E5819" w:rsidRDefault="004A6C7C" w:rsidP="005E5819">
            <w:pPr>
              <w:rPr>
                <w:rFonts w:ascii="Century" w:hAnsi="Century" w:cs="MS PGothic"/>
                <w:color w:val="000000"/>
                <w:sz w:val="21"/>
              </w:rPr>
            </w:pPr>
            <w:r w:rsidRPr="005E5819">
              <w:rPr>
                <w:rFonts w:ascii="Century" w:hAnsi="Century" w:cs="MS PGothic" w:hint="eastAsia"/>
                <w:color w:val="000000"/>
                <w:sz w:val="21"/>
              </w:rPr>
              <w:t>NYHA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2603" w14:textId="77777777" w:rsidR="004A6C7C" w:rsidRPr="005E5819" w:rsidRDefault="004A6C7C" w:rsidP="005E5819">
            <w:pPr>
              <w:jc w:val="center"/>
              <w:rPr>
                <w:rFonts w:ascii="Century" w:hAnsi="Century" w:cs="MS PGothic"/>
                <w:color w:val="000000"/>
                <w:sz w:val="21"/>
              </w:rPr>
            </w:pPr>
            <w:r w:rsidRPr="005E5819">
              <w:rPr>
                <w:rFonts w:ascii="Century" w:hAnsi="Century" w:cs="MS PGothic" w:hint="eastAsia"/>
                <w:color w:val="000000"/>
                <w:sz w:val="21"/>
              </w:rPr>
              <w:t>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CE7D4" w14:textId="77777777" w:rsidR="004A6C7C" w:rsidRPr="005E5819" w:rsidRDefault="004A6C7C" w:rsidP="004A6C7C">
            <w:pPr>
              <w:jc w:val="center"/>
              <w:rPr>
                <w:rFonts w:ascii="Century" w:hAnsi="Century" w:cs="MS PGothic"/>
                <w:color w:val="000000"/>
                <w:sz w:val="21"/>
              </w:rPr>
            </w:pPr>
            <w:r w:rsidRPr="005E5819">
              <w:rPr>
                <w:rFonts w:ascii="Century" w:hAnsi="Century" w:cs="MS PGothic" w:hint="eastAsia"/>
                <w:color w:val="000000"/>
                <w:sz w:val="21"/>
              </w:rPr>
              <w:t>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C4E4F" w14:textId="77777777" w:rsidR="004A6C7C" w:rsidRPr="005E5819" w:rsidRDefault="004A6C7C" w:rsidP="005E5819">
            <w:pPr>
              <w:jc w:val="center"/>
              <w:rPr>
                <w:rFonts w:ascii="Century" w:hAnsi="Century" w:cs="MS PGothic"/>
                <w:color w:val="000000"/>
                <w:sz w:val="21"/>
              </w:rPr>
            </w:pPr>
            <w:r w:rsidRPr="005E5819">
              <w:rPr>
                <w:rFonts w:ascii="Century" w:hAnsi="Century" w:cs="MS PGothic" w:hint="eastAsia"/>
                <w:color w:val="000000"/>
                <w:sz w:val="21"/>
              </w:rPr>
              <w:t>●</w:t>
            </w:r>
          </w:p>
        </w:tc>
      </w:tr>
      <w:tr w:rsidR="004A6C7C" w:rsidRPr="005E5819" w14:paraId="79C75F5E" w14:textId="77777777" w:rsidTr="00DE655A">
        <w:trPr>
          <w:trHeight w:val="31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77F4B58" w14:textId="4ABB1569" w:rsidR="004A6C7C" w:rsidRPr="005E5819" w:rsidRDefault="004A6C7C" w:rsidP="005E5819">
            <w:pPr>
              <w:jc w:val="center"/>
              <w:rPr>
                <w:rFonts w:ascii="Century" w:hAnsi="Century" w:cs="MS PGothic"/>
                <w:color w:val="000000"/>
                <w:sz w:val="21"/>
              </w:rPr>
            </w:pPr>
            <w:r>
              <w:rPr>
                <w:rFonts w:ascii="Century" w:hAnsi="Century" w:cs="MS PGothic"/>
                <w:color w:val="000000"/>
                <w:sz w:val="21"/>
              </w:rPr>
              <w:t>Blood test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6D27" w14:textId="5112613C" w:rsidR="004A6C7C" w:rsidRPr="005E5819" w:rsidRDefault="004A6C7C" w:rsidP="005E5819">
            <w:pPr>
              <w:rPr>
                <w:rFonts w:ascii="Century" w:hAnsi="Century" w:cs="MS PGothic"/>
                <w:color w:val="000000"/>
                <w:sz w:val="21"/>
              </w:rPr>
            </w:pPr>
            <w:r>
              <w:rPr>
                <w:rFonts w:ascii="Century" w:hAnsi="Century" w:cs="MS PGothic"/>
                <w:color w:val="000000"/>
                <w:sz w:val="21"/>
              </w:rPr>
              <w:t>G</w:t>
            </w:r>
            <w:r>
              <w:rPr>
                <w:rFonts w:ascii="Century" w:hAnsi="Century" w:cs="MS PGothic" w:hint="eastAsia"/>
                <w:color w:val="000000"/>
                <w:sz w:val="21"/>
              </w:rPr>
              <w:t>eneral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275F" w14:textId="70F0DBEB" w:rsidR="004A6C7C" w:rsidRPr="005E5819" w:rsidRDefault="004A6C7C" w:rsidP="005E5819">
            <w:pPr>
              <w:jc w:val="center"/>
              <w:rPr>
                <w:rFonts w:ascii="Century" w:hAnsi="Century" w:cs="MS PGothic"/>
                <w:color w:val="000000"/>
                <w:sz w:val="21"/>
              </w:rPr>
            </w:pPr>
            <w:r w:rsidRPr="005E5819">
              <w:rPr>
                <w:rFonts w:ascii="Century" w:hAnsi="Century" w:cs="MS PGothic" w:hint="eastAsia"/>
                <w:color w:val="000000"/>
                <w:sz w:val="21"/>
              </w:rPr>
              <w:t>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51FC" w14:textId="6331B8DD" w:rsidR="004A6C7C" w:rsidRPr="005E5819" w:rsidRDefault="004A6C7C" w:rsidP="005E5819">
            <w:pPr>
              <w:jc w:val="center"/>
              <w:rPr>
                <w:rFonts w:ascii="Century" w:hAnsi="Century" w:cs="MS PGothic"/>
                <w:color w:val="000000"/>
                <w:sz w:val="21"/>
              </w:rPr>
            </w:pPr>
            <w:r w:rsidRPr="005E5819">
              <w:rPr>
                <w:rFonts w:ascii="Century" w:hAnsi="Century" w:cs="MS PGothic" w:hint="eastAsia"/>
                <w:color w:val="000000"/>
                <w:sz w:val="21"/>
              </w:rPr>
              <w:t>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82243" w14:textId="058DD5D3" w:rsidR="004A6C7C" w:rsidRPr="005E5819" w:rsidRDefault="004A6C7C" w:rsidP="005E5819">
            <w:pPr>
              <w:jc w:val="center"/>
              <w:rPr>
                <w:rFonts w:ascii="Century" w:hAnsi="Century" w:cs="MS PGothic"/>
                <w:color w:val="000000"/>
                <w:sz w:val="21"/>
              </w:rPr>
            </w:pPr>
            <w:r w:rsidRPr="005E5819">
              <w:rPr>
                <w:rFonts w:ascii="Century" w:hAnsi="Century" w:cs="MS PGothic" w:hint="eastAsia"/>
                <w:color w:val="000000"/>
                <w:sz w:val="21"/>
              </w:rPr>
              <w:t>●</w:t>
            </w:r>
          </w:p>
        </w:tc>
      </w:tr>
      <w:tr w:rsidR="004A6C7C" w:rsidRPr="005E5819" w14:paraId="5329B4B3" w14:textId="77777777" w:rsidTr="00DE655A">
        <w:trPr>
          <w:trHeight w:val="736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A33D" w14:textId="77777777" w:rsidR="004A6C7C" w:rsidRPr="005E5819" w:rsidRDefault="004A6C7C" w:rsidP="005E5819">
            <w:pPr>
              <w:rPr>
                <w:rFonts w:ascii="Century" w:hAnsi="Century" w:cs="MS PGothic"/>
                <w:color w:val="000000"/>
                <w:sz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525F" w14:textId="3024AF54" w:rsidR="004A6C7C" w:rsidRPr="005E5819" w:rsidRDefault="004A6C7C" w:rsidP="005E5819">
            <w:pPr>
              <w:rPr>
                <w:rFonts w:ascii="Century" w:hAnsi="Century" w:cs="MS PGothic"/>
                <w:color w:val="000000"/>
                <w:sz w:val="21"/>
              </w:rPr>
            </w:pPr>
            <w:r>
              <w:rPr>
                <w:rFonts w:ascii="Century" w:hAnsi="Century" w:cs="MS PGothic"/>
                <w:color w:val="000000"/>
                <w:sz w:val="21"/>
              </w:rPr>
              <w:t>S</w:t>
            </w:r>
            <w:r>
              <w:rPr>
                <w:rFonts w:ascii="Century" w:hAnsi="Century" w:cs="MS PGothic" w:hint="eastAsia"/>
                <w:color w:val="000000"/>
                <w:sz w:val="21"/>
              </w:rPr>
              <w:t xml:space="preserve">erum </w:t>
            </w:r>
            <w:r>
              <w:rPr>
                <w:rFonts w:ascii="Century" w:hAnsi="Century" w:cs="MS PGothic"/>
                <w:color w:val="000000"/>
                <w:sz w:val="21"/>
              </w:rPr>
              <w:t>osmotic pressure</w:t>
            </w:r>
            <w:r w:rsidRPr="005E5819">
              <w:rPr>
                <w:rFonts w:ascii="Century" w:hAnsi="Century" w:cs="Arial"/>
                <w:color w:val="000000"/>
                <w:sz w:val="2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2EE2" w14:textId="77777777" w:rsidR="004A6C7C" w:rsidRPr="005E5819" w:rsidRDefault="004A6C7C" w:rsidP="005E5819">
            <w:pPr>
              <w:jc w:val="center"/>
              <w:rPr>
                <w:rFonts w:ascii="Century" w:hAnsi="Century" w:cs="MS PGothic"/>
                <w:color w:val="000000"/>
                <w:sz w:val="21"/>
              </w:rPr>
            </w:pPr>
            <w:r w:rsidRPr="005E5819">
              <w:rPr>
                <w:rFonts w:ascii="Century" w:hAnsi="Century" w:cs="MS PGothic" w:hint="eastAsia"/>
                <w:color w:val="000000"/>
                <w:sz w:val="21"/>
              </w:rPr>
              <w:t>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7DFA" w14:textId="77777777" w:rsidR="004A6C7C" w:rsidRPr="005E5819" w:rsidRDefault="004A6C7C" w:rsidP="005E5819">
            <w:pPr>
              <w:jc w:val="center"/>
              <w:rPr>
                <w:rFonts w:ascii="Century" w:hAnsi="Century" w:cs="MS PGothic"/>
                <w:color w:val="000000"/>
                <w:sz w:val="21"/>
              </w:rPr>
            </w:pPr>
            <w:r w:rsidRPr="005E5819">
              <w:rPr>
                <w:rFonts w:ascii="Century" w:hAnsi="Century" w:cs="MS PGothic" w:hint="eastAsia"/>
                <w:color w:val="000000"/>
                <w:sz w:val="21"/>
              </w:rPr>
              <w:t>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950B2" w14:textId="2C351487" w:rsidR="004A6C7C" w:rsidRDefault="004A6C7C" w:rsidP="005E5819">
            <w:pPr>
              <w:jc w:val="center"/>
              <w:rPr>
                <w:rFonts w:ascii="Century" w:hAnsi="Century" w:cs="MS PGothic"/>
                <w:color w:val="000000"/>
                <w:sz w:val="21"/>
              </w:rPr>
            </w:pPr>
          </w:p>
          <w:p w14:paraId="0B613DC3" w14:textId="2C8B1697" w:rsidR="004A6C7C" w:rsidRPr="004A6C7C" w:rsidRDefault="004A6C7C" w:rsidP="004A6C7C">
            <w:pPr>
              <w:jc w:val="center"/>
              <w:rPr>
                <w:rFonts w:ascii="Century" w:hAnsi="Century" w:cs="MS PGothic"/>
                <w:sz w:val="21"/>
              </w:rPr>
            </w:pPr>
            <w:r w:rsidRPr="005E5819">
              <w:rPr>
                <w:rFonts w:ascii="Century" w:hAnsi="Century" w:cs="MS PGothic" w:hint="eastAsia"/>
                <w:color w:val="000000"/>
                <w:sz w:val="21"/>
              </w:rPr>
              <w:t>●</w:t>
            </w:r>
          </w:p>
        </w:tc>
      </w:tr>
      <w:tr w:rsidR="004A6C7C" w:rsidRPr="005E5819" w14:paraId="60364BCC" w14:textId="77777777" w:rsidTr="00DE655A">
        <w:trPr>
          <w:trHeight w:val="25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1ECF" w14:textId="77777777" w:rsidR="004A6C7C" w:rsidRPr="005E5819" w:rsidRDefault="004A6C7C" w:rsidP="005E5819">
            <w:pPr>
              <w:rPr>
                <w:rFonts w:ascii="Century" w:hAnsi="Century" w:cs="MS PGothic"/>
                <w:color w:val="000000"/>
                <w:sz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8E44" w14:textId="648F4FE0" w:rsidR="004A6C7C" w:rsidRPr="005E5819" w:rsidRDefault="004A6C7C" w:rsidP="005E5819">
            <w:pPr>
              <w:rPr>
                <w:rFonts w:ascii="Century" w:hAnsi="Century" w:cs="Arial"/>
                <w:color w:val="000000"/>
                <w:sz w:val="21"/>
              </w:rPr>
            </w:pPr>
            <w:r w:rsidRPr="005E5819">
              <w:rPr>
                <w:rFonts w:ascii="Century" w:hAnsi="Century" w:cs="Arial"/>
                <w:color w:val="000000"/>
                <w:sz w:val="21"/>
              </w:rPr>
              <w:t xml:space="preserve">BNP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55CA7" w14:textId="77777777" w:rsidR="004A6C7C" w:rsidRPr="005E5819" w:rsidRDefault="004A6C7C" w:rsidP="005E5819">
            <w:pPr>
              <w:jc w:val="center"/>
              <w:rPr>
                <w:rFonts w:ascii="Century" w:hAnsi="Century" w:cs="MS PGothic"/>
                <w:color w:val="000000"/>
                <w:sz w:val="21"/>
              </w:rPr>
            </w:pPr>
            <w:r w:rsidRPr="005E5819">
              <w:rPr>
                <w:rFonts w:ascii="Century" w:hAnsi="Century" w:cs="MS PGothic" w:hint="eastAsia"/>
                <w:color w:val="000000"/>
                <w:sz w:val="21"/>
              </w:rPr>
              <w:t>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058F1" w14:textId="77777777" w:rsidR="004A6C7C" w:rsidRPr="005E5819" w:rsidRDefault="004A6C7C" w:rsidP="005E5819">
            <w:pPr>
              <w:jc w:val="center"/>
              <w:rPr>
                <w:rFonts w:ascii="Century" w:hAnsi="Century" w:cs="MS PGothic"/>
                <w:color w:val="000000"/>
                <w:sz w:val="21"/>
              </w:rPr>
            </w:pPr>
            <w:r w:rsidRPr="005E5819">
              <w:rPr>
                <w:rFonts w:ascii="Century" w:hAnsi="Century" w:cs="MS PGothic" w:hint="eastAsia"/>
                <w:color w:val="000000"/>
                <w:sz w:val="21"/>
              </w:rPr>
              <w:t>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42CB" w14:textId="77777777" w:rsidR="004A6C7C" w:rsidRPr="005E5819" w:rsidRDefault="004A6C7C" w:rsidP="005E5819">
            <w:pPr>
              <w:jc w:val="center"/>
              <w:rPr>
                <w:rFonts w:ascii="Century" w:hAnsi="Century" w:cs="MS PGothic"/>
                <w:color w:val="000000"/>
                <w:sz w:val="21"/>
              </w:rPr>
            </w:pPr>
            <w:r w:rsidRPr="005E5819">
              <w:rPr>
                <w:rFonts w:ascii="Century" w:hAnsi="Century" w:cs="MS PGothic" w:hint="eastAsia"/>
                <w:color w:val="000000"/>
                <w:sz w:val="21"/>
              </w:rPr>
              <w:t>●</w:t>
            </w:r>
          </w:p>
        </w:tc>
      </w:tr>
      <w:tr w:rsidR="004A6C7C" w:rsidRPr="005E5819" w14:paraId="566EC59C" w14:textId="77777777" w:rsidTr="00DE655A">
        <w:trPr>
          <w:trHeight w:val="257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6BA16" w14:textId="433F9CB8" w:rsidR="004A6C7C" w:rsidRPr="005E5819" w:rsidRDefault="004A6C7C" w:rsidP="004A6C7C">
            <w:pPr>
              <w:rPr>
                <w:rFonts w:ascii="Century" w:hAnsi="Century" w:cs="MS PGothic"/>
                <w:color w:val="000000"/>
                <w:sz w:val="21"/>
              </w:rPr>
            </w:pPr>
            <w:r>
              <w:rPr>
                <w:rFonts w:ascii="Century" w:hAnsi="Century" w:cs="MS PGothic" w:hint="eastAsia"/>
                <w:color w:val="000000"/>
                <w:sz w:val="21"/>
              </w:rPr>
              <w:t>Echocardiogram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BA95" w14:textId="77777777" w:rsidR="004A6C7C" w:rsidRPr="005E5819" w:rsidRDefault="004A6C7C" w:rsidP="005E5819">
            <w:pPr>
              <w:jc w:val="center"/>
              <w:rPr>
                <w:rFonts w:ascii="Century" w:hAnsi="Century" w:cs="MS PGothic"/>
                <w:color w:val="000000"/>
                <w:sz w:val="21"/>
              </w:rPr>
            </w:pPr>
            <w:r w:rsidRPr="005E5819">
              <w:rPr>
                <w:rFonts w:ascii="Century" w:hAnsi="Century" w:cs="MS PGothic" w:hint="eastAsia"/>
                <w:color w:val="000000"/>
                <w:sz w:val="21"/>
              </w:rPr>
              <w:t>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B350" w14:textId="0E7B77A9" w:rsidR="004A6C7C" w:rsidRPr="005E5819" w:rsidRDefault="004A6C7C" w:rsidP="005E5819">
            <w:pPr>
              <w:jc w:val="center"/>
              <w:rPr>
                <w:rFonts w:ascii="Century" w:hAnsi="Century" w:cs="MS PGothic"/>
                <w:color w:val="000000"/>
                <w:sz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FEF5F" w14:textId="77777777" w:rsidR="004A6C7C" w:rsidRPr="005E5819" w:rsidRDefault="004A6C7C" w:rsidP="005E5819">
            <w:pPr>
              <w:jc w:val="center"/>
              <w:rPr>
                <w:rFonts w:ascii="Century" w:hAnsi="Century" w:cs="MS PGothic"/>
                <w:color w:val="000000"/>
                <w:sz w:val="21"/>
              </w:rPr>
            </w:pPr>
            <w:r w:rsidRPr="005E5819">
              <w:rPr>
                <w:rFonts w:ascii="Century" w:hAnsi="Century" w:cs="MS PGothic" w:hint="eastAsia"/>
                <w:color w:val="000000"/>
                <w:sz w:val="21"/>
              </w:rPr>
              <w:t>●</w:t>
            </w:r>
          </w:p>
        </w:tc>
      </w:tr>
      <w:tr w:rsidR="004A6C7C" w:rsidRPr="005E5819" w14:paraId="692333AB" w14:textId="77777777" w:rsidTr="00DE655A">
        <w:trPr>
          <w:trHeight w:val="391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D10E" w14:textId="760F136E" w:rsidR="004A6C7C" w:rsidRPr="005E5819" w:rsidRDefault="004A6C7C" w:rsidP="004A6C7C">
            <w:pPr>
              <w:rPr>
                <w:rFonts w:ascii="Century" w:hAnsi="Century" w:cs="MS PGothic"/>
                <w:color w:val="000000"/>
                <w:sz w:val="21"/>
              </w:rPr>
            </w:pPr>
            <w:r>
              <w:rPr>
                <w:rFonts w:ascii="Century" w:hAnsi="Century" w:cs="MS PGothic"/>
                <w:color w:val="000000"/>
                <w:sz w:val="21"/>
              </w:rPr>
              <w:t>Dyspnea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A9A4" w14:textId="77777777" w:rsidR="004A6C7C" w:rsidRPr="005E5819" w:rsidRDefault="004A6C7C" w:rsidP="005E5819">
            <w:pPr>
              <w:jc w:val="center"/>
              <w:rPr>
                <w:rFonts w:ascii="Century" w:hAnsi="Century" w:cs="MS PGothic"/>
                <w:color w:val="000000"/>
                <w:sz w:val="21"/>
              </w:rPr>
            </w:pPr>
            <w:r w:rsidRPr="005E5819">
              <w:rPr>
                <w:rFonts w:ascii="Century" w:hAnsi="Century" w:cs="MS PGothic" w:hint="eastAsia"/>
                <w:color w:val="000000"/>
                <w:sz w:val="21"/>
              </w:rPr>
              <w:t>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2BC3D" w14:textId="2D50A378" w:rsidR="004A6C7C" w:rsidRPr="005E5819" w:rsidRDefault="004A6C7C" w:rsidP="005E5819">
            <w:pPr>
              <w:jc w:val="center"/>
              <w:rPr>
                <w:rFonts w:ascii="Century" w:hAnsi="Century" w:cs="MS PGothic"/>
                <w:color w:val="000000"/>
                <w:sz w:val="21"/>
              </w:rPr>
            </w:pPr>
            <w:r w:rsidRPr="005E5819">
              <w:rPr>
                <w:rFonts w:ascii="Century" w:hAnsi="Century" w:cs="MS PGothic" w:hint="eastAsia"/>
                <w:color w:val="000000"/>
                <w:sz w:val="21"/>
              </w:rPr>
              <w:t>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F5240" w14:textId="77777777" w:rsidR="004A6C7C" w:rsidRPr="005E5819" w:rsidRDefault="004A6C7C" w:rsidP="005E5819">
            <w:pPr>
              <w:jc w:val="center"/>
              <w:rPr>
                <w:rFonts w:ascii="Century" w:hAnsi="Century" w:cs="MS PGothic"/>
                <w:color w:val="000000"/>
                <w:sz w:val="21"/>
              </w:rPr>
            </w:pPr>
            <w:r w:rsidRPr="005E5819">
              <w:rPr>
                <w:rFonts w:ascii="Century" w:hAnsi="Century" w:cs="MS PGothic" w:hint="eastAsia"/>
                <w:color w:val="000000"/>
                <w:sz w:val="21"/>
              </w:rPr>
              <w:t>●</w:t>
            </w:r>
          </w:p>
        </w:tc>
      </w:tr>
      <w:tr w:rsidR="004A6C7C" w:rsidRPr="005E5819" w14:paraId="0C803FE9" w14:textId="77777777" w:rsidTr="00DE655A">
        <w:trPr>
          <w:trHeight w:val="227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1FD6" w14:textId="7CBEACCA" w:rsidR="004A6C7C" w:rsidRPr="005E5819" w:rsidRDefault="004A6C7C" w:rsidP="005E5819">
            <w:pPr>
              <w:rPr>
                <w:rFonts w:ascii="Century" w:hAnsi="Century" w:cs="MS PGothic"/>
                <w:color w:val="000000"/>
                <w:sz w:val="21"/>
              </w:rPr>
            </w:pPr>
            <w:r>
              <w:rPr>
                <w:rFonts w:ascii="Century" w:hAnsi="Century" w:cs="MS PGothic"/>
                <w:color w:val="000000"/>
                <w:sz w:val="21"/>
              </w:rPr>
              <w:t>E</w:t>
            </w:r>
            <w:r>
              <w:rPr>
                <w:rFonts w:ascii="Century" w:hAnsi="Century" w:cs="MS PGothic" w:hint="eastAsia"/>
                <w:color w:val="000000"/>
                <w:sz w:val="21"/>
              </w:rPr>
              <w:t>dema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956F9" w14:textId="77777777" w:rsidR="004A6C7C" w:rsidRPr="005E5819" w:rsidRDefault="004A6C7C" w:rsidP="005E5819">
            <w:pPr>
              <w:jc w:val="center"/>
              <w:rPr>
                <w:rFonts w:ascii="Century" w:hAnsi="Century" w:cs="MS PGothic"/>
                <w:color w:val="000000"/>
                <w:sz w:val="21"/>
              </w:rPr>
            </w:pPr>
            <w:r w:rsidRPr="005E5819">
              <w:rPr>
                <w:rFonts w:ascii="Century" w:hAnsi="Century" w:cs="MS PGothic" w:hint="eastAsia"/>
                <w:color w:val="000000"/>
                <w:sz w:val="21"/>
              </w:rPr>
              <w:t>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A83F2" w14:textId="099C05B1" w:rsidR="004A6C7C" w:rsidRPr="005E5819" w:rsidRDefault="004A6C7C" w:rsidP="005E5819">
            <w:pPr>
              <w:jc w:val="center"/>
              <w:rPr>
                <w:rFonts w:ascii="Century" w:hAnsi="Century" w:cs="MS PGothic"/>
                <w:color w:val="000000"/>
                <w:sz w:val="21"/>
              </w:rPr>
            </w:pPr>
            <w:r w:rsidRPr="005E5819">
              <w:rPr>
                <w:rFonts w:ascii="Century" w:hAnsi="Century" w:cs="MS PGothic" w:hint="eastAsia"/>
                <w:color w:val="000000"/>
                <w:sz w:val="21"/>
              </w:rPr>
              <w:t>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32E32" w14:textId="77777777" w:rsidR="004A6C7C" w:rsidRPr="005E5819" w:rsidRDefault="004A6C7C" w:rsidP="005E5819">
            <w:pPr>
              <w:jc w:val="center"/>
              <w:rPr>
                <w:rFonts w:ascii="Century" w:hAnsi="Century" w:cs="MS PGothic"/>
                <w:color w:val="000000"/>
                <w:sz w:val="21"/>
              </w:rPr>
            </w:pPr>
            <w:r w:rsidRPr="005E5819">
              <w:rPr>
                <w:rFonts w:ascii="Century" w:hAnsi="Century" w:cs="MS PGothic" w:hint="eastAsia"/>
                <w:color w:val="000000"/>
                <w:sz w:val="21"/>
              </w:rPr>
              <w:t>●</w:t>
            </w:r>
          </w:p>
        </w:tc>
      </w:tr>
      <w:tr w:rsidR="004A6C7C" w:rsidRPr="005E5819" w14:paraId="5023214D" w14:textId="77777777" w:rsidTr="00DE655A">
        <w:trPr>
          <w:trHeight w:val="247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077FB" w14:textId="77777777" w:rsidR="004A6C7C" w:rsidRPr="005E5819" w:rsidRDefault="004A6C7C" w:rsidP="005E5819">
            <w:pPr>
              <w:rPr>
                <w:rFonts w:ascii="Century" w:hAnsi="Century" w:cs="MS PGothic"/>
                <w:color w:val="000000"/>
                <w:sz w:val="21"/>
              </w:rPr>
            </w:pPr>
            <w:r w:rsidRPr="005E5819">
              <w:rPr>
                <w:rFonts w:ascii="Century" w:hAnsi="Century" w:cs="MS PGothic" w:hint="eastAsia"/>
                <w:color w:val="000000"/>
                <w:sz w:val="21"/>
              </w:rPr>
              <w:t>ADL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05A8E" w14:textId="0633B639" w:rsidR="004A6C7C" w:rsidRPr="005E5819" w:rsidRDefault="004A6C7C" w:rsidP="005E5819">
            <w:pPr>
              <w:jc w:val="center"/>
              <w:rPr>
                <w:rFonts w:ascii="Century" w:hAnsi="Century" w:cs="MS PGothic"/>
                <w:color w:val="000000"/>
                <w:sz w:val="21"/>
              </w:rPr>
            </w:pPr>
            <w:r w:rsidRPr="005E5819">
              <w:rPr>
                <w:rFonts w:ascii="Century" w:hAnsi="Century" w:cs="MS PGothic" w:hint="eastAsia"/>
                <w:color w:val="000000"/>
                <w:sz w:val="21"/>
              </w:rPr>
              <w:t>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C077" w14:textId="31AA55F4" w:rsidR="004A6C7C" w:rsidRPr="005E5819" w:rsidRDefault="004A6C7C" w:rsidP="005E5819">
            <w:pPr>
              <w:jc w:val="center"/>
              <w:rPr>
                <w:rFonts w:ascii="Century" w:hAnsi="Century" w:cs="MS PGothic"/>
                <w:color w:val="000000"/>
                <w:sz w:val="2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C6031" w14:textId="77777777" w:rsidR="004A6C7C" w:rsidRPr="005E5819" w:rsidRDefault="004A6C7C" w:rsidP="005E5819">
            <w:pPr>
              <w:jc w:val="center"/>
              <w:rPr>
                <w:rFonts w:ascii="Century" w:hAnsi="Century" w:cs="MS PGothic"/>
                <w:color w:val="000000"/>
                <w:sz w:val="21"/>
              </w:rPr>
            </w:pPr>
            <w:r w:rsidRPr="005E5819">
              <w:rPr>
                <w:rFonts w:ascii="Century" w:hAnsi="Century" w:cs="MS PGothic" w:hint="eastAsia"/>
                <w:color w:val="000000"/>
                <w:sz w:val="21"/>
              </w:rPr>
              <w:t>●</w:t>
            </w:r>
          </w:p>
        </w:tc>
      </w:tr>
      <w:tr w:rsidR="004A6C7C" w:rsidRPr="005E5819" w14:paraId="2A52F766" w14:textId="77777777" w:rsidTr="00DE655A">
        <w:trPr>
          <w:trHeight w:val="84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5738" w14:textId="77777777" w:rsidR="004A6C7C" w:rsidRPr="005E5819" w:rsidRDefault="004A6C7C" w:rsidP="005E5819">
            <w:pPr>
              <w:rPr>
                <w:rFonts w:ascii="Century" w:hAnsi="Century" w:cs="MS PGothic"/>
                <w:color w:val="000000"/>
                <w:sz w:val="21"/>
              </w:rPr>
            </w:pPr>
            <w:r w:rsidRPr="005E5819">
              <w:rPr>
                <w:rFonts w:ascii="Century" w:hAnsi="Century" w:cs="MS PGothic" w:hint="eastAsia"/>
                <w:color w:val="000000"/>
                <w:sz w:val="21"/>
              </w:rPr>
              <w:t>QOL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2E55" w14:textId="6D710CCF" w:rsidR="004A6C7C" w:rsidRPr="005E5819" w:rsidRDefault="004A6C7C" w:rsidP="005E5819">
            <w:pPr>
              <w:jc w:val="center"/>
              <w:rPr>
                <w:rFonts w:ascii="Century" w:hAnsi="Century" w:cs="MS PGothic"/>
                <w:color w:val="000000"/>
                <w:sz w:val="21"/>
              </w:rPr>
            </w:pPr>
            <w:r w:rsidRPr="005E5819">
              <w:rPr>
                <w:rFonts w:ascii="Century" w:hAnsi="Century" w:cs="MS PGothic" w:hint="eastAsia"/>
                <w:color w:val="000000"/>
                <w:sz w:val="21"/>
              </w:rPr>
              <w:t>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44572" w14:textId="6EB03706" w:rsidR="004A6C7C" w:rsidRPr="005E5819" w:rsidRDefault="004A6C7C" w:rsidP="005E5819">
            <w:pPr>
              <w:jc w:val="center"/>
              <w:rPr>
                <w:rFonts w:ascii="Century" w:hAnsi="Century" w:cs="MS PGothic"/>
                <w:color w:val="000000"/>
                <w:sz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28206" w14:textId="77777777" w:rsidR="004A6C7C" w:rsidRPr="005E5819" w:rsidRDefault="004A6C7C" w:rsidP="005E5819">
            <w:pPr>
              <w:jc w:val="center"/>
              <w:rPr>
                <w:rFonts w:ascii="Century" w:hAnsi="Century" w:cs="MS PGothic"/>
                <w:color w:val="000000"/>
                <w:sz w:val="21"/>
              </w:rPr>
            </w:pPr>
            <w:r w:rsidRPr="005E5819">
              <w:rPr>
                <w:rFonts w:ascii="Century" w:hAnsi="Century" w:cs="MS PGothic" w:hint="eastAsia"/>
                <w:color w:val="000000"/>
                <w:sz w:val="21"/>
              </w:rPr>
              <w:t>●</w:t>
            </w:r>
          </w:p>
        </w:tc>
      </w:tr>
    </w:tbl>
    <w:p w14:paraId="3B929F50" w14:textId="77777777" w:rsidR="005E5819" w:rsidRDefault="005E5819" w:rsidP="007D31AC">
      <w:pPr>
        <w:spacing w:line="480" w:lineRule="auto"/>
        <w:jc w:val="both"/>
        <w:rPr>
          <w:b/>
        </w:rPr>
      </w:pPr>
    </w:p>
    <w:p w14:paraId="39F7B7D8" w14:textId="4DBDC4C5" w:rsidR="004A6C7C" w:rsidRDefault="00521D84" w:rsidP="007D31AC">
      <w:pPr>
        <w:spacing w:line="480" w:lineRule="auto"/>
        <w:jc w:val="both"/>
        <w:rPr>
          <w:b/>
        </w:rPr>
      </w:pPr>
      <w:r>
        <w:rPr>
          <w:b/>
        </w:rPr>
        <w:t>[Duration]</w:t>
      </w:r>
    </w:p>
    <w:p w14:paraId="78180D29" w14:textId="5EC10CE8" w:rsidR="00521D84" w:rsidRDefault="00521D84" w:rsidP="007D31AC">
      <w:pPr>
        <w:spacing w:line="480" w:lineRule="auto"/>
        <w:jc w:val="both"/>
      </w:pPr>
      <w:r w:rsidRPr="00521D84">
        <w:t xml:space="preserve">The intervention </w:t>
      </w:r>
      <w:r w:rsidR="00DE655A">
        <w:t>is</w:t>
      </w:r>
      <w:r w:rsidRPr="00521D84">
        <w:t xml:space="preserve"> ended at day 10 or discharge if the participant discharge</w:t>
      </w:r>
      <w:r w:rsidR="00DE655A">
        <w:t>s</w:t>
      </w:r>
      <w:r w:rsidRPr="00521D84">
        <w:t xml:space="preserve"> before day 10.  </w:t>
      </w:r>
    </w:p>
    <w:p w14:paraId="3BDBEE3B" w14:textId="77777777" w:rsidR="00521D84" w:rsidRDefault="00521D84" w:rsidP="007D31AC">
      <w:pPr>
        <w:spacing w:line="480" w:lineRule="auto"/>
        <w:jc w:val="both"/>
      </w:pPr>
    </w:p>
    <w:p w14:paraId="34813302" w14:textId="1A258B1E" w:rsidR="00521D84" w:rsidRPr="00521D84" w:rsidRDefault="00521D84" w:rsidP="007D31AC">
      <w:pPr>
        <w:spacing w:line="480" w:lineRule="auto"/>
        <w:jc w:val="both"/>
      </w:pPr>
      <w:r>
        <w:t>[</w:t>
      </w:r>
      <w:r w:rsidRPr="0044699E">
        <w:rPr>
          <w:rFonts w:hint="eastAsia"/>
          <w:b/>
        </w:rPr>
        <w:t>Co</w:t>
      </w:r>
      <w:r w:rsidRPr="0044699E">
        <w:rPr>
          <w:b/>
        </w:rPr>
        <w:t>ncomitant medication</w:t>
      </w:r>
      <w:r>
        <w:t>]</w:t>
      </w:r>
    </w:p>
    <w:p w14:paraId="3409D4F2" w14:textId="66BB76A5" w:rsidR="00521D84" w:rsidRDefault="007D31AC" w:rsidP="007D31AC">
      <w:pPr>
        <w:spacing w:line="480" w:lineRule="auto"/>
        <w:jc w:val="both"/>
      </w:pPr>
      <w:r w:rsidRPr="008E4951">
        <w:t xml:space="preserve">Participants in the both groups </w:t>
      </w:r>
      <w:r w:rsidR="00DE655A">
        <w:t>are</w:t>
      </w:r>
      <w:r w:rsidRPr="008E4951">
        <w:t xml:space="preserve"> adequately advised by treatment physicians </w:t>
      </w:r>
      <w:r w:rsidRPr="008E4951">
        <w:rPr>
          <w:rFonts w:hint="eastAsia"/>
        </w:rPr>
        <w:t>not to keep the bed rest</w:t>
      </w:r>
      <w:r w:rsidRPr="008E4951">
        <w:t xml:space="preserve"> and were provided with salt-restricted meal (6 gram daily). Fluid intake </w:t>
      </w:r>
      <w:r w:rsidR="00DE655A">
        <w:t>is</w:t>
      </w:r>
      <w:r w:rsidRPr="008E4951">
        <w:t xml:space="preserve"> restricted to less than 1000 ml daily, except for the cases in which fluid-restriction </w:t>
      </w:r>
      <w:r w:rsidR="00DE655A">
        <w:t>is</w:t>
      </w:r>
      <w:r w:rsidRPr="008E4951">
        <w:t xml:space="preserve"> cancelled during tolvaptan usage according to its prescribing information. All patients receive standard HF therapy</w:t>
      </w:r>
      <w:r w:rsidR="00141CF6">
        <w:t xml:space="preserve"> </w:t>
      </w:r>
      <w:r w:rsidRPr="008E4951">
        <w:t xml:space="preserve">and non-drug treatment such as of bladder catheterization and cardiac rehabilitation program, all of which </w:t>
      </w:r>
      <w:r w:rsidR="00DE655A">
        <w:t>are</w:t>
      </w:r>
      <w:r w:rsidRPr="008E4951">
        <w:t xml:space="preserve"> employed at the discretion of the treating physician. </w:t>
      </w:r>
    </w:p>
    <w:p w14:paraId="2CC3986E" w14:textId="77777777" w:rsidR="00141CF6" w:rsidRDefault="00141CF6" w:rsidP="007D31AC">
      <w:pPr>
        <w:spacing w:line="480" w:lineRule="auto"/>
        <w:jc w:val="both"/>
      </w:pPr>
    </w:p>
    <w:p w14:paraId="4D7C990A" w14:textId="77777777" w:rsidR="00141CF6" w:rsidRDefault="00141CF6" w:rsidP="007D31AC">
      <w:pPr>
        <w:spacing w:line="480" w:lineRule="auto"/>
        <w:jc w:val="both"/>
      </w:pPr>
    </w:p>
    <w:p w14:paraId="620C561F" w14:textId="6D4219B4" w:rsidR="00521D84" w:rsidRDefault="00521D84" w:rsidP="007D31AC">
      <w:pPr>
        <w:spacing w:line="480" w:lineRule="auto"/>
        <w:jc w:val="both"/>
      </w:pPr>
      <w:r>
        <w:lastRenderedPageBreak/>
        <w:t>[</w:t>
      </w:r>
      <w:r w:rsidRPr="001A64ED">
        <w:rPr>
          <w:b/>
        </w:rPr>
        <w:t>Cancelation of intervention</w:t>
      </w:r>
      <w:r>
        <w:t>]</w:t>
      </w:r>
    </w:p>
    <w:p w14:paraId="613D7C05" w14:textId="44FB9E99" w:rsidR="007D31AC" w:rsidRDefault="007D31AC" w:rsidP="007D31AC">
      <w:pPr>
        <w:spacing w:line="480" w:lineRule="auto"/>
        <w:jc w:val="both"/>
      </w:pPr>
      <w:r w:rsidRPr="008E4951">
        <w:t xml:space="preserve">For the sake of safety, </w:t>
      </w:r>
      <w:r w:rsidRPr="008E4951">
        <w:rPr>
          <w:rFonts w:hint="eastAsia"/>
        </w:rPr>
        <w:t xml:space="preserve">the continuous intravenous infusion </w:t>
      </w:r>
      <w:r w:rsidR="00DE655A">
        <w:t>is</w:t>
      </w:r>
      <w:r w:rsidRPr="008E4951">
        <w:t xml:space="preserve"> </w:t>
      </w:r>
      <w:r w:rsidRPr="008E4951">
        <w:rPr>
          <w:rFonts w:hint="eastAsia"/>
        </w:rPr>
        <w:t>undertaken</w:t>
      </w:r>
      <w:r w:rsidRPr="008E4951">
        <w:t xml:space="preserve"> in the OM group after randomization by the treating physicians’ discretion, in case of such as dehydration and </w:t>
      </w:r>
      <w:r w:rsidRPr="008E4951">
        <w:rPr>
          <w:rFonts w:hint="eastAsia"/>
        </w:rPr>
        <w:t>i</w:t>
      </w:r>
      <w:r w:rsidRPr="008E4951">
        <w:t xml:space="preserve">nadequate improvement of HF. </w:t>
      </w:r>
      <w:r w:rsidR="00521D84">
        <w:t xml:space="preserve"> </w:t>
      </w:r>
      <w:r w:rsidRPr="008E4951">
        <w:t xml:space="preserve">Based on intention-to-treat principle, all participants allocated to each group </w:t>
      </w:r>
      <w:r w:rsidR="00DE655A">
        <w:t>are</w:t>
      </w:r>
      <w:r w:rsidRPr="008E4951">
        <w:t xml:space="preserve"> analyzed.  </w:t>
      </w:r>
    </w:p>
    <w:p w14:paraId="42D5D2F8" w14:textId="77777777" w:rsidR="001A64ED" w:rsidRDefault="001A64ED" w:rsidP="007D31AC">
      <w:pPr>
        <w:spacing w:line="480" w:lineRule="auto"/>
        <w:jc w:val="both"/>
      </w:pPr>
    </w:p>
    <w:p w14:paraId="34D4DFBA" w14:textId="758DC74F" w:rsidR="001A64ED" w:rsidRDefault="001A64ED" w:rsidP="007D31AC">
      <w:pPr>
        <w:spacing w:line="480" w:lineRule="auto"/>
        <w:jc w:val="both"/>
      </w:pPr>
      <w:r>
        <w:t>[</w:t>
      </w:r>
      <w:r w:rsidRPr="0044699E">
        <w:rPr>
          <w:b/>
        </w:rPr>
        <w:t>Statistical analysis</w:t>
      </w:r>
      <w:r>
        <w:t>]</w:t>
      </w:r>
    </w:p>
    <w:p w14:paraId="414C7C94" w14:textId="4223515C" w:rsidR="001A64ED" w:rsidRPr="008E4951" w:rsidRDefault="001A64ED" w:rsidP="001A64ED">
      <w:pPr>
        <w:spacing w:line="480" w:lineRule="auto"/>
        <w:jc w:val="both"/>
      </w:pPr>
      <w:r w:rsidRPr="008E4951">
        <w:rPr>
          <w:rFonts w:hint="eastAsia"/>
        </w:rPr>
        <w:t xml:space="preserve">Continuous variables </w:t>
      </w:r>
      <w:r w:rsidRPr="008E4951">
        <w:t>are</w:t>
      </w:r>
      <w:r w:rsidRPr="008E4951">
        <w:rPr>
          <w:rFonts w:hint="eastAsia"/>
        </w:rPr>
        <w:t xml:space="preserve"> presented as mean </w:t>
      </w:r>
      <w:r w:rsidRPr="008E4951">
        <w:t>±</w:t>
      </w:r>
      <w:r w:rsidRPr="008E4951">
        <w:rPr>
          <w:rFonts w:hint="eastAsia"/>
        </w:rPr>
        <w:t xml:space="preserve"> SD</w:t>
      </w:r>
      <w:r w:rsidRPr="008E4951">
        <w:t xml:space="preserve"> or median with interquartile range as appropriate. Comparison between the two groups </w:t>
      </w:r>
      <w:r w:rsidR="00DE655A">
        <w:t>is</w:t>
      </w:r>
      <w:r w:rsidRPr="008E4951">
        <w:t xml:space="preserve"> performed with Student’s t-test, and comparison between multiple groups </w:t>
      </w:r>
      <w:r w:rsidR="00DE655A">
        <w:t>are</w:t>
      </w:r>
      <w:r w:rsidRPr="008E4951">
        <w:t xml:space="preserve"> performed with ANOVA followed by Turkey-Kramer HSD analysis. </w:t>
      </w:r>
      <w:r w:rsidRPr="008E4951">
        <w:rPr>
          <w:rFonts w:hint="eastAsia"/>
        </w:rPr>
        <w:t>Categorical variables</w:t>
      </w:r>
      <w:r w:rsidRPr="008E4951">
        <w:t xml:space="preserve"> are</w:t>
      </w:r>
      <w:r w:rsidRPr="008E4951">
        <w:rPr>
          <w:rFonts w:hint="eastAsia"/>
        </w:rPr>
        <w:t xml:space="preserve"> presented as frequency </w:t>
      </w:r>
      <w:r w:rsidRPr="008E4951">
        <w:t>(</w:t>
      </w:r>
      <w:r w:rsidRPr="008E4951">
        <w:rPr>
          <w:rFonts w:hint="eastAsia"/>
        </w:rPr>
        <w:t>percentage</w:t>
      </w:r>
      <w:r w:rsidRPr="008E4951">
        <w:t>)</w:t>
      </w:r>
      <w:r w:rsidRPr="008E4951">
        <w:rPr>
          <w:rFonts w:hint="eastAsia"/>
        </w:rPr>
        <w:t xml:space="preserve"> and compared with the Fisher's extract or the chi-square test. </w:t>
      </w:r>
      <w:r w:rsidRPr="008E4951">
        <w:t xml:space="preserve">Differences in BI scores across daily steps </w:t>
      </w:r>
      <w:r w:rsidR="00DE655A">
        <w:t>are</w:t>
      </w:r>
      <w:r w:rsidRPr="008E4951">
        <w:t xml:space="preserve"> tested with P for trend obtained from ANOVA. Multivariate analysis </w:t>
      </w:r>
      <w:r w:rsidR="00DE655A">
        <w:t>is</w:t>
      </w:r>
      <w:r w:rsidRPr="008E4951">
        <w:t xml:space="preserve"> used to assess the independent risk of drug administration route on the clinical end point. The data of univariate and multivariate analysis are presented as </w:t>
      </w:r>
      <w:r w:rsidRPr="008E4951">
        <w:sym w:font="Symbol" w:char="F062"/>
      </w:r>
      <w:r w:rsidRPr="008E4951">
        <w:t xml:space="preserve">±SE. Analyses </w:t>
      </w:r>
      <w:r w:rsidR="00DE655A">
        <w:t>are</w:t>
      </w:r>
      <w:r w:rsidRPr="008E4951">
        <w:t xml:space="preserve"> conducted with JMP (version 11.0). </w:t>
      </w:r>
      <w:r w:rsidRPr="008E4951">
        <w:rPr>
          <w:rFonts w:hint="eastAsia"/>
        </w:rPr>
        <w:t xml:space="preserve">All tests of significance </w:t>
      </w:r>
      <w:r w:rsidR="00DE655A">
        <w:t>are</w:t>
      </w:r>
      <w:r w:rsidRPr="008E4951">
        <w:rPr>
          <w:rFonts w:hint="eastAsia"/>
        </w:rPr>
        <w:t xml:space="preserve"> two-tailed, and a P value of less than 0.05 </w:t>
      </w:r>
      <w:r w:rsidR="00DE655A">
        <w:t>is</w:t>
      </w:r>
      <w:r w:rsidRPr="008E4951">
        <w:rPr>
          <w:rFonts w:hint="eastAsia"/>
        </w:rPr>
        <w:t xml:space="preserve"> considered to indicate statistical significance.  </w:t>
      </w:r>
    </w:p>
    <w:p w14:paraId="5B240A00" w14:textId="77777777" w:rsidR="001A64ED" w:rsidRDefault="001A64ED" w:rsidP="007D31AC">
      <w:pPr>
        <w:spacing w:line="480" w:lineRule="auto"/>
        <w:jc w:val="both"/>
      </w:pPr>
    </w:p>
    <w:p w14:paraId="1FC77640" w14:textId="4B5A24FB" w:rsidR="007D31AC" w:rsidRPr="0044699E" w:rsidRDefault="001A64ED" w:rsidP="007D31AC">
      <w:pPr>
        <w:spacing w:line="480" w:lineRule="auto"/>
        <w:jc w:val="both"/>
        <w:rPr>
          <w:b/>
        </w:rPr>
      </w:pPr>
      <w:r w:rsidRPr="0044699E">
        <w:rPr>
          <w:b/>
        </w:rPr>
        <w:t>(4) Study design</w:t>
      </w:r>
    </w:p>
    <w:p w14:paraId="593B83F8" w14:textId="541D1A21" w:rsidR="001A64ED" w:rsidRDefault="001A64ED" w:rsidP="007D31AC">
      <w:pPr>
        <w:spacing w:line="480" w:lineRule="auto"/>
        <w:jc w:val="both"/>
      </w:pPr>
      <w:r>
        <w:t>1. Interventional study</w:t>
      </w:r>
    </w:p>
    <w:p w14:paraId="05E150E0" w14:textId="6106D9DA" w:rsidR="001A64ED" w:rsidRDefault="001A64ED" w:rsidP="007D31AC">
      <w:pPr>
        <w:spacing w:line="480" w:lineRule="auto"/>
        <w:jc w:val="both"/>
      </w:pPr>
      <w:r>
        <w:t>2. Prospective study</w:t>
      </w:r>
    </w:p>
    <w:p w14:paraId="71ECFF4D" w14:textId="77777777" w:rsidR="001A64ED" w:rsidRDefault="001A64ED" w:rsidP="007D31AC">
      <w:pPr>
        <w:spacing w:line="480" w:lineRule="auto"/>
        <w:jc w:val="both"/>
      </w:pPr>
    </w:p>
    <w:p w14:paraId="2021B4CB" w14:textId="16868CD7" w:rsidR="001A64ED" w:rsidRPr="0044699E" w:rsidRDefault="001A64ED" w:rsidP="007D31AC">
      <w:pPr>
        <w:spacing w:line="480" w:lineRule="auto"/>
        <w:jc w:val="both"/>
        <w:rPr>
          <w:b/>
        </w:rPr>
      </w:pPr>
      <w:r w:rsidRPr="0044699E">
        <w:rPr>
          <w:b/>
        </w:rPr>
        <w:t>(5) Informed consent</w:t>
      </w:r>
    </w:p>
    <w:p w14:paraId="1262903A" w14:textId="2B17A77F" w:rsidR="009611B1" w:rsidRDefault="001A64ED" w:rsidP="00141CF6">
      <w:pPr>
        <w:spacing w:line="480" w:lineRule="auto"/>
        <w:jc w:val="both"/>
      </w:pPr>
      <w:r w:rsidRPr="001A64ED">
        <w:t>All patients provided written informed consent before being enrolled.</w:t>
      </w:r>
    </w:p>
    <w:sectPr w:rsidR="009611B1" w:rsidSect="006D2D14">
      <w:pgSz w:w="11907" w:h="16839" w:code="9"/>
      <w:pgMar w:top="1440" w:right="1797" w:bottom="1440" w:left="179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A9259" w14:textId="77777777" w:rsidR="00AD4A53" w:rsidRDefault="00AD4A53" w:rsidP="00F37A3D">
      <w:r>
        <w:separator/>
      </w:r>
    </w:p>
  </w:endnote>
  <w:endnote w:type="continuationSeparator" w:id="0">
    <w:p w14:paraId="60780261" w14:textId="77777777" w:rsidR="00AD4A53" w:rsidRDefault="00AD4A53" w:rsidP="00F3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F53B5" w14:textId="77777777" w:rsidR="00AD4A53" w:rsidRDefault="00AD4A53" w:rsidP="00F37A3D">
      <w:r>
        <w:separator/>
      </w:r>
    </w:p>
  </w:footnote>
  <w:footnote w:type="continuationSeparator" w:id="0">
    <w:p w14:paraId="47C87F4D" w14:textId="77777777" w:rsidR="00AD4A53" w:rsidRDefault="00AD4A53" w:rsidP="00F37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AC"/>
    <w:rsid w:val="000C18D8"/>
    <w:rsid w:val="00141CF6"/>
    <w:rsid w:val="001A64ED"/>
    <w:rsid w:val="0044699E"/>
    <w:rsid w:val="004A6C7C"/>
    <w:rsid w:val="00521D84"/>
    <w:rsid w:val="005E5819"/>
    <w:rsid w:val="006D2D14"/>
    <w:rsid w:val="007D31AC"/>
    <w:rsid w:val="008B06FE"/>
    <w:rsid w:val="009611B1"/>
    <w:rsid w:val="00AD4A53"/>
    <w:rsid w:val="00DE655A"/>
    <w:rsid w:val="00F3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876B6"/>
  <w15:chartTrackingRefBased/>
  <w15:docId w15:val="{C527490C-4CEC-4B35-98A2-7A8733D3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1A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31AC"/>
  </w:style>
  <w:style w:type="paragraph" w:styleId="a3">
    <w:name w:val="header"/>
    <w:basedOn w:val="a"/>
    <w:link w:val="a4"/>
    <w:uiPriority w:val="99"/>
    <w:unhideWhenUsed/>
    <w:rsid w:val="00F37A3D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F37A3D"/>
    <w:rPr>
      <w:rFonts w:ascii="Times New Roman" w:eastAsia="MS Mincho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37A3D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rsid w:val="00F37A3D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Kazutaka Ueda</dc:creator>
  <cp:keywords/>
  <dc:description/>
  <cp:lastModifiedBy>Kazutaka Ueda</cp:lastModifiedBy>
  <cp:revision>2</cp:revision>
  <dcterms:created xsi:type="dcterms:W3CDTF">2016-12-01T07:27:00Z</dcterms:created>
  <dcterms:modified xsi:type="dcterms:W3CDTF">2016-12-01T07:27:00Z</dcterms:modified>
</cp:coreProperties>
</file>