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71D4" w14:textId="77777777" w:rsidR="00C052D5" w:rsidRPr="00B32D5B" w:rsidRDefault="00C052D5" w:rsidP="00B32D5B">
      <w:pPr>
        <w:pStyle w:val="Heading1"/>
      </w:pPr>
      <w:bookmarkStart w:id="0" w:name="_Toc409018267"/>
      <w:bookmarkStart w:id="1" w:name="_Toc409082827"/>
    </w:p>
    <w:p w14:paraId="3D509D78" w14:textId="77777777" w:rsidR="0021647B" w:rsidRDefault="00C052D5" w:rsidP="00C3691C">
      <w:pPr>
        <w:pStyle w:val="Heading2"/>
      </w:pPr>
      <w:r>
        <w:t>SUPPLEMENTARY</w:t>
      </w:r>
      <w:r w:rsidR="00B32D5B">
        <w:t xml:space="preserve"> DATA</w:t>
      </w:r>
    </w:p>
    <w:p w14:paraId="15311DA9" w14:textId="12B395B8" w:rsidR="0021647B" w:rsidRDefault="00522504" w:rsidP="00C3691C">
      <w:pPr>
        <w:pStyle w:val="Heading2"/>
      </w:pPr>
      <w:bookmarkStart w:id="2" w:name="_Toc409018270"/>
      <w:bookmarkStart w:id="3" w:name="_Toc409082830"/>
      <w:bookmarkEnd w:id="0"/>
      <w:bookmarkEnd w:id="1"/>
      <w:r>
        <w:t>S</w:t>
      </w:r>
      <w:r w:rsidR="0021647B" w:rsidRPr="003A2270">
        <w:t>.</w:t>
      </w:r>
      <w:r>
        <w:t>3</w:t>
      </w:r>
      <w:r w:rsidR="0021647B" w:rsidRPr="003A2270">
        <w:t xml:space="preserve"> Real-time PCR</w:t>
      </w:r>
      <w:bookmarkEnd w:id="2"/>
      <w:bookmarkEnd w:id="3"/>
    </w:p>
    <w:p w14:paraId="32AB8DD8" w14:textId="123BA552" w:rsidR="00CC6FD0" w:rsidRPr="00CC6FD0" w:rsidRDefault="00CC6FD0" w:rsidP="00CC6FD0">
      <w:pPr>
        <w:pStyle w:val="Heading3"/>
      </w:pPr>
      <w:r>
        <w:t>S.3.1 Detailed Protocol</w:t>
      </w:r>
    </w:p>
    <w:p w14:paraId="184B92B8" w14:textId="77777777" w:rsidR="0021647B" w:rsidRPr="00A15D38" w:rsidRDefault="0021647B" w:rsidP="0021647B">
      <w:pPr>
        <w:rPr>
          <w:szCs w:val="24"/>
        </w:rPr>
      </w:pPr>
      <w:r w:rsidRPr="00A15D38">
        <w:rPr>
          <w:szCs w:val="24"/>
        </w:rPr>
        <w:t>Auditory cortex samples were thawed on ice and total RNA extracted using 0.5 ml QIAzol Lysis Reagent per sample following manufacturer’s instructions (Qiagen). The RNA pellet was resuspended in 20 µl of RNase-free water and RNA concentration was determined using a NanoDrop</w:t>
      </w:r>
      <w:r w:rsidRPr="00A15D38">
        <w:rPr>
          <w:i/>
          <w:szCs w:val="24"/>
        </w:rPr>
        <w:t xml:space="preserve">. </w:t>
      </w:r>
      <w:r w:rsidRPr="00A15D38">
        <w:rPr>
          <w:szCs w:val="24"/>
        </w:rPr>
        <w:t>Total RNA (2 µg) was DNAse treated (RQ1 RNase-Free DNase; Promega)</w:t>
      </w:r>
      <w:r w:rsidRPr="00A15D38" w:rsidDel="00CC60B0">
        <w:rPr>
          <w:szCs w:val="24"/>
        </w:rPr>
        <w:t xml:space="preserve"> </w:t>
      </w:r>
      <w:r w:rsidRPr="00A15D38">
        <w:rPr>
          <w:szCs w:val="24"/>
        </w:rPr>
        <w:t>followed by denaturation at 65 °C for 10 min. Samples were reverse transcribed using 0.5 µl of Random Primers (500 ng/l) and MMLV reverse transcriptase (Promega). cDNA was purified using spin column clean up kits (Mo Bio) prior to amplification. Quantitative PCR was performed on a Rotorgene 6000 using standard curve method. All samples were processed in triplicate. Cycle parameters were: hold time 5 min at 95°C, with 45 cycles 10 s at 95°C and 30 s at 60°C. Melt curves were obtained from 61 to 95°C to confirm specificity of amplification. Primers were purchased from Quantitect primers (Qiagen) qPCR was performed using 3 reference genes (TBP (QT00198443), HPRT (QT00166768) and GAPDH (QT01658692), and 5 genes of interest (DRD1 (QT00386631), DRD2 (QT01081990), GAD1 (QT00194600) &amp; GRIN2B (QT00184793)</w:t>
      </w:r>
      <w:r>
        <w:rPr>
          <w:szCs w:val="24"/>
        </w:rPr>
        <w:t>, and TS</w:t>
      </w:r>
      <w:r w:rsidRPr="00105E6D">
        <w:t>C22 (</w:t>
      </w:r>
      <w:r w:rsidRPr="005161C3">
        <w:t>QT01689632</w:t>
      </w:r>
      <w:r w:rsidRPr="00105E6D">
        <w:t>)</w:t>
      </w:r>
      <w:r w:rsidRPr="00A15D38">
        <w:rPr>
          <w:szCs w:val="24"/>
        </w:rPr>
        <w:t>. Relative expression was calculated by using geometric mean of the reference genes.</w:t>
      </w:r>
    </w:p>
    <w:p w14:paraId="0E3D7E8E" w14:textId="1F420741" w:rsidR="000F69FB" w:rsidRPr="003A2270" w:rsidRDefault="00C3691C" w:rsidP="00D733DD">
      <w:pPr>
        <w:pStyle w:val="Heading3"/>
      </w:pPr>
      <w:bookmarkStart w:id="4" w:name="_Toc409018327"/>
      <w:bookmarkStart w:id="5" w:name="_Toc409082887"/>
      <w:r>
        <w:t>S</w:t>
      </w:r>
      <w:r w:rsidR="000F69FB" w:rsidRPr="003A2270">
        <w:t>.</w:t>
      </w:r>
      <w:r w:rsidR="002715B1">
        <w:t>3</w:t>
      </w:r>
      <w:r w:rsidR="00D733DD">
        <w:t>.</w:t>
      </w:r>
      <w:r w:rsidR="002715B1">
        <w:t>2</w:t>
      </w:r>
      <w:r w:rsidR="000F69FB" w:rsidRPr="003A2270">
        <w:t xml:space="preserve"> Quantitative Real-Time PCR</w:t>
      </w:r>
      <w:bookmarkEnd w:id="4"/>
      <w:bookmarkEnd w:id="5"/>
      <w:r w:rsidR="002715B1">
        <w:t xml:space="preserve"> </w:t>
      </w:r>
      <w:r w:rsidR="002715B1">
        <w:rPr>
          <w:lang w:val="en-US" w:eastAsia="en-AU" w:bidi="en-US"/>
        </w:rPr>
        <w:t>Statistics</w:t>
      </w:r>
    </w:p>
    <w:tbl>
      <w:tblPr>
        <w:tblStyle w:val="TableGrid"/>
        <w:tblW w:w="0" w:type="auto"/>
        <w:jc w:val="center"/>
        <w:tblLook w:val="04A0" w:firstRow="1" w:lastRow="0" w:firstColumn="1" w:lastColumn="0" w:noHBand="0" w:noVBand="1"/>
      </w:tblPr>
      <w:tblGrid>
        <w:gridCol w:w="2161"/>
        <w:gridCol w:w="1647"/>
        <w:gridCol w:w="1983"/>
        <w:gridCol w:w="945"/>
      </w:tblGrid>
      <w:tr w:rsidR="000F69FB" w:rsidRPr="00FB4C00" w14:paraId="18C9368C" w14:textId="77777777" w:rsidTr="000C26DE">
        <w:trPr>
          <w:gridAfter w:val="3"/>
          <w:wAfter w:w="4575" w:type="dxa"/>
          <w:jc w:val="center"/>
        </w:trPr>
        <w:tc>
          <w:tcPr>
            <w:tcW w:w="2161" w:type="dxa"/>
          </w:tcPr>
          <w:p w14:paraId="682CC688" w14:textId="77777777" w:rsidR="000F69FB" w:rsidRPr="00FB4C00" w:rsidRDefault="000F69FB" w:rsidP="000F69FB">
            <w:pPr>
              <w:pStyle w:val="Table"/>
              <w:ind w:firstLine="0"/>
            </w:pPr>
            <w:r w:rsidRPr="00FB4C00">
              <w:t>Gene</w:t>
            </w:r>
          </w:p>
        </w:tc>
      </w:tr>
      <w:tr w:rsidR="000F69FB" w:rsidRPr="003A2270" w14:paraId="3631A1CC" w14:textId="77777777" w:rsidTr="000C26DE">
        <w:trPr>
          <w:jc w:val="center"/>
        </w:trPr>
        <w:tc>
          <w:tcPr>
            <w:tcW w:w="2161" w:type="dxa"/>
          </w:tcPr>
          <w:p w14:paraId="7A3E60A3" w14:textId="77777777" w:rsidR="000F69FB" w:rsidRPr="00FB4C00" w:rsidRDefault="000F69FB" w:rsidP="000F69FB">
            <w:pPr>
              <w:pStyle w:val="Table"/>
              <w:ind w:firstLine="0"/>
            </w:pPr>
            <w:r w:rsidRPr="00FB4C00">
              <w:t>t-test</w:t>
            </w:r>
          </w:p>
        </w:tc>
        <w:tc>
          <w:tcPr>
            <w:tcW w:w="1647" w:type="dxa"/>
          </w:tcPr>
          <w:p w14:paraId="460E4DDE" w14:textId="77777777" w:rsidR="000F69FB" w:rsidRPr="00FB4C00" w:rsidRDefault="000F69FB" w:rsidP="000F69FB">
            <w:pPr>
              <w:pStyle w:val="Table"/>
              <w:ind w:firstLine="0"/>
            </w:pPr>
            <w:r w:rsidRPr="00FB4C00">
              <w:t>df</w:t>
            </w:r>
          </w:p>
        </w:tc>
        <w:tc>
          <w:tcPr>
            <w:tcW w:w="1983" w:type="dxa"/>
          </w:tcPr>
          <w:p w14:paraId="2DCE12D8" w14:textId="77777777" w:rsidR="000F69FB" w:rsidRPr="00FB4C00" w:rsidRDefault="000F69FB" w:rsidP="000F69FB">
            <w:pPr>
              <w:pStyle w:val="Table"/>
              <w:ind w:firstLine="0"/>
            </w:pPr>
            <w:r w:rsidRPr="00FB4C00">
              <w:t>t-statistic</w:t>
            </w:r>
          </w:p>
        </w:tc>
        <w:tc>
          <w:tcPr>
            <w:tcW w:w="945" w:type="dxa"/>
          </w:tcPr>
          <w:p w14:paraId="55B5B019" w14:textId="77777777" w:rsidR="000F69FB" w:rsidRPr="00FB4C00" w:rsidRDefault="000F69FB" w:rsidP="000F69FB">
            <w:pPr>
              <w:pStyle w:val="Table"/>
              <w:ind w:firstLine="0"/>
            </w:pPr>
            <w:r w:rsidRPr="00FB4C00">
              <w:t>p-value</w:t>
            </w:r>
          </w:p>
        </w:tc>
      </w:tr>
      <w:tr w:rsidR="000F69FB" w:rsidRPr="003A2270" w14:paraId="4ACBCC6D" w14:textId="77777777" w:rsidTr="000C26DE">
        <w:trPr>
          <w:jc w:val="center"/>
        </w:trPr>
        <w:tc>
          <w:tcPr>
            <w:tcW w:w="2161" w:type="dxa"/>
          </w:tcPr>
          <w:p w14:paraId="2918EC79" w14:textId="77777777" w:rsidR="000F69FB" w:rsidRPr="00FB4C00" w:rsidRDefault="000F69FB" w:rsidP="000F69FB">
            <w:pPr>
              <w:pStyle w:val="Table"/>
              <w:ind w:firstLine="0"/>
            </w:pPr>
            <w:r w:rsidRPr="00FB4C00">
              <w:t>DRD2</w:t>
            </w:r>
          </w:p>
        </w:tc>
        <w:tc>
          <w:tcPr>
            <w:tcW w:w="1647" w:type="dxa"/>
          </w:tcPr>
          <w:p w14:paraId="3C349DDF" w14:textId="77777777" w:rsidR="000F69FB" w:rsidRPr="003A2270" w:rsidRDefault="000F69FB" w:rsidP="000F69FB">
            <w:pPr>
              <w:pStyle w:val="Table"/>
              <w:ind w:firstLine="0"/>
            </w:pPr>
            <w:r w:rsidRPr="003A2270">
              <w:t>8</w:t>
            </w:r>
          </w:p>
        </w:tc>
        <w:tc>
          <w:tcPr>
            <w:tcW w:w="1983" w:type="dxa"/>
          </w:tcPr>
          <w:p w14:paraId="49994B87" w14:textId="77777777" w:rsidR="000F69FB" w:rsidRPr="003A2270" w:rsidRDefault="000F69FB" w:rsidP="000F69FB">
            <w:pPr>
              <w:pStyle w:val="Table"/>
              <w:ind w:firstLine="0"/>
            </w:pPr>
            <w:r w:rsidRPr="003A2270">
              <w:t>1.909</w:t>
            </w:r>
          </w:p>
        </w:tc>
        <w:tc>
          <w:tcPr>
            <w:tcW w:w="945" w:type="dxa"/>
          </w:tcPr>
          <w:p w14:paraId="18F359E1" w14:textId="77777777" w:rsidR="000F69FB" w:rsidRPr="003A2270" w:rsidRDefault="000F69FB" w:rsidP="000F69FB">
            <w:pPr>
              <w:pStyle w:val="Table"/>
              <w:ind w:firstLine="0"/>
            </w:pPr>
            <w:r w:rsidRPr="003A2270">
              <w:t>0.093</w:t>
            </w:r>
          </w:p>
        </w:tc>
      </w:tr>
      <w:tr w:rsidR="000F69FB" w:rsidRPr="003A2270" w14:paraId="72A3E5AB" w14:textId="77777777" w:rsidTr="000C26DE">
        <w:trPr>
          <w:jc w:val="center"/>
        </w:trPr>
        <w:tc>
          <w:tcPr>
            <w:tcW w:w="2161" w:type="dxa"/>
          </w:tcPr>
          <w:p w14:paraId="076E5A93" w14:textId="77777777" w:rsidR="000F69FB" w:rsidRPr="00FB4C00" w:rsidRDefault="000F69FB" w:rsidP="000F69FB">
            <w:pPr>
              <w:pStyle w:val="Table"/>
              <w:ind w:firstLine="0"/>
            </w:pPr>
            <w:r w:rsidRPr="00FB4C00">
              <w:t>GRIN2B</w:t>
            </w:r>
          </w:p>
        </w:tc>
        <w:tc>
          <w:tcPr>
            <w:tcW w:w="1647" w:type="dxa"/>
          </w:tcPr>
          <w:p w14:paraId="2F957F3D" w14:textId="77777777" w:rsidR="000F69FB" w:rsidRPr="003A2270" w:rsidRDefault="000F69FB" w:rsidP="000F69FB">
            <w:pPr>
              <w:pStyle w:val="Table"/>
              <w:ind w:firstLine="0"/>
            </w:pPr>
            <w:r w:rsidRPr="003A2270">
              <w:t>8</w:t>
            </w:r>
          </w:p>
        </w:tc>
        <w:tc>
          <w:tcPr>
            <w:tcW w:w="1983" w:type="dxa"/>
          </w:tcPr>
          <w:p w14:paraId="153F05BA" w14:textId="77777777" w:rsidR="000F69FB" w:rsidRPr="003A2270" w:rsidRDefault="000F69FB" w:rsidP="000F69FB">
            <w:pPr>
              <w:pStyle w:val="Table"/>
              <w:ind w:firstLine="0"/>
            </w:pPr>
            <w:r w:rsidRPr="003A2270">
              <w:t>1.752</w:t>
            </w:r>
          </w:p>
        </w:tc>
        <w:tc>
          <w:tcPr>
            <w:tcW w:w="945" w:type="dxa"/>
          </w:tcPr>
          <w:p w14:paraId="2DCB7DBF" w14:textId="77777777" w:rsidR="000F69FB" w:rsidRPr="003A2270" w:rsidRDefault="000F69FB" w:rsidP="000F69FB">
            <w:pPr>
              <w:pStyle w:val="Table"/>
              <w:ind w:firstLine="0"/>
            </w:pPr>
            <w:r w:rsidRPr="003A2270">
              <w:t>0.118</w:t>
            </w:r>
          </w:p>
        </w:tc>
      </w:tr>
      <w:tr w:rsidR="000F69FB" w:rsidRPr="003A2270" w14:paraId="59030265" w14:textId="77777777" w:rsidTr="000C26DE">
        <w:trPr>
          <w:jc w:val="center"/>
        </w:trPr>
        <w:tc>
          <w:tcPr>
            <w:tcW w:w="2161" w:type="dxa"/>
          </w:tcPr>
          <w:p w14:paraId="14AED6CC" w14:textId="77777777" w:rsidR="000F69FB" w:rsidRPr="00FB4C00" w:rsidRDefault="000F69FB" w:rsidP="000F69FB">
            <w:pPr>
              <w:pStyle w:val="Table"/>
              <w:ind w:firstLine="0"/>
            </w:pPr>
            <w:r w:rsidRPr="00FB4C00">
              <w:t>GAD1</w:t>
            </w:r>
          </w:p>
        </w:tc>
        <w:tc>
          <w:tcPr>
            <w:tcW w:w="1647" w:type="dxa"/>
          </w:tcPr>
          <w:p w14:paraId="12730563" w14:textId="77777777" w:rsidR="000F69FB" w:rsidRPr="003A2270" w:rsidRDefault="000F69FB" w:rsidP="000F69FB">
            <w:pPr>
              <w:pStyle w:val="Table"/>
              <w:ind w:firstLine="0"/>
            </w:pPr>
            <w:r w:rsidRPr="003A2270">
              <w:t>8</w:t>
            </w:r>
          </w:p>
        </w:tc>
        <w:tc>
          <w:tcPr>
            <w:tcW w:w="1983" w:type="dxa"/>
          </w:tcPr>
          <w:p w14:paraId="61A2600F" w14:textId="77777777" w:rsidR="000F69FB" w:rsidRPr="003A2270" w:rsidRDefault="000F69FB" w:rsidP="000F69FB">
            <w:pPr>
              <w:pStyle w:val="Table"/>
              <w:ind w:firstLine="0"/>
            </w:pPr>
            <w:r w:rsidRPr="003A2270">
              <w:t>0.854</w:t>
            </w:r>
          </w:p>
        </w:tc>
        <w:tc>
          <w:tcPr>
            <w:tcW w:w="945" w:type="dxa"/>
          </w:tcPr>
          <w:p w14:paraId="2D4C0906" w14:textId="77777777" w:rsidR="000F69FB" w:rsidRPr="003A2270" w:rsidRDefault="000F69FB" w:rsidP="000F69FB">
            <w:pPr>
              <w:pStyle w:val="Table"/>
              <w:ind w:firstLine="0"/>
            </w:pPr>
            <w:r w:rsidRPr="003A2270">
              <w:t>0.418</w:t>
            </w:r>
          </w:p>
        </w:tc>
      </w:tr>
      <w:tr w:rsidR="000F69FB" w:rsidRPr="003A2270" w14:paraId="454220E8" w14:textId="77777777" w:rsidTr="000C26DE">
        <w:trPr>
          <w:jc w:val="center"/>
        </w:trPr>
        <w:tc>
          <w:tcPr>
            <w:tcW w:w="2161" w:type="dxa"/>
          </w:tcPr>
          <w:p w14:paraId="637FC703" w14:textId="77777777" w:rsidR="000F69FB" w:rsidRPr="00FB4C00" w:rsidRDefault="000F69FB" w:rsidP="000F69FB">
            <w:pPr>
              <w:pStyle w:val="Table"/>
              <w:ind w:firstLine="0"/>
            </w:pPr>
            <w:r w:rsidRPr="00FB4C00">
              <w:t>TSC22</w:t>
            </w:r>
          </w:p>
        </w:tc>
        <w:tc>
          <w:tcPr>
            <w:tcW w:w="1647" w:type="dxa"/>
          </w:tcPr>
          <w:p w14:paraId="3802B4A1" w14:textId="77777777" w:rsidR="000F69FB" w:rsidRPr="003A2270" w:rsidRDefault="000F69FB" w:rsidP="000F69FB">
            <w:pPr>
              <w:pStyle w:val="Table"/>
              <w:ind w:firstLine="0"/>
            </w:pPr>
            <w:r w:rsidRPr="003A2270">
              <w:t>8</w:t>
            </w:r>
          </w:p>
        </w:tc>
        <w:tc>
          <w:tcPr>
            <w:tcW w:w="1983" w:type="dxa"/>
          </w:tcPr>
          <w:p w14:paraId="5AD8459A" w14:textId="77777777" w:rsidR="000F69FB" w:rsidRPr="003A2270" w:rsidRDefault="000F69FB" w:rsidP="000F69FB">
            <w:pPr>
              <w:pStyle w:val="Table"/>
              <w:ind w:firstLine="0"/>
            </w:pPr>
            <w:r w:rsidRPr="003A2270">
              <w:t>2.633</w:t>
            </w:r>
          </w:p>
        </w:tc>
        <w:tc>
          <w:tcPr>
            <w:tcW w:w="945" w:type="dxa"/>
          </w:tcPr>
          <w:p w14:paraId="35F2F8DE" w14:textId="77777777" w:rsidR="000F69FB" w:rsidRPr="0086576C" w:rsidRDefault="000F69FB" w:rsidP="000F69FB">
            <w:pPr>
              <w:pStyle w:val="Table"/>
              <w:ind w:firstLine="0"/>
              <w:rPr>
                <w:u w:val="single"/>
              </w:rPr>
            </w:pPr>
            <w:r w:rsidRPr="0086576C">
              <w:rPr>
                <w:u w:val="single"/>
              </w:rPr>
              <w:t>&lt;0.05</w:t>
            </w:r>
          </w:p>
        </w:tc>
      </w:tr>
      <w:tr w:rsidR="000F69FB" w:rsidRPr="003A2270" w14:paraId="6E96EDBF" w14:textId="77777777" w:rsidTr="000C26DE">
        <w:trPr>
          <w:jc w:val="center"/>
        </w:trPr>
        <w:tc>
          <w:tcPr>
            <w:tcW w:w="2161" w:type="dxa"/>
          </w:tcPr>
          <w:p w14:paraId="14F55055" w14:textId="77777777" w:rsidR="000F69FB" w:rsidRPr="00FB4C00" w:rsidRDefault="00C3691C" w:rsidP="000F69FB">
            <w:pPr>
              <w:pStyle w:val="Table"/>
              <w:ind w:firstLine="0"/>
            </w:pPr>
            <w:r>
              <w:t>Mann-Whitney Test</w:t>
            </w:r>
          </w:p>
        </w:tc>
        <w:tc>
          <w:tcPr>
            <w:tcW w:w="1647" w:type="dxa"/>
          </w:tcPr>
          <w:p w14:paraId="22177D82" w14:textId="77777777" w:rsidR="000F69FB" w:rsidRPr="00FB4C00" w:rsidRDefault="000F69FB" w:rsidP="000F69FB">
            <w:pPr>
              <w:pStyle w:val="Table"/>
              <w:ind w:firstLine="0"/>
            </w:pPr>
            <w:r w:rsidRPr="00FB4C00">
              <w:t>Sum of Ranks</w:t>
            </w:r>
          </w:p>
        </w:tc>
        <w:tc>
          <w:tcPr>
            <w:tcW w:w="1983" w:type="dxa"/>
          </w:tcPr>
          <w:p w14:paraId="7A36B9A4" w14:textId="77777777" w:rsidR="000F69FB" w:rsidRPr="00FB4C00" w:rsidRDefault="000F69FB" w:rsidP="000F69FB">
            <w:pPr>
              <w:pStyle w:val="Table"/>
              <w:ind w:firstLine="0"/>
            </w:pPr>
            <w:r w:rsidRPr="00FB4C00">
              <w:t>Mann-Whitney U</w:t>
            </w:r>
          </w:p>
        </w:tc>
        <w:tc>
          <w:tcPr>
            <w:tcW w:w="945" w:type="dxa"/>
          </w:tcPr>
          <w:p w14:paraId="207CCB7B" w14:textId="77777777" w:rsidR="000F69FB" w:rsidRPr="00FB4C00" w:rsidRDefault="000F69FB" w:rsidP="000F69FB">
            <w:pPr>
              <w:pStyle w:val="Table"/>
              <w:ind w:firstLine="0"/>
            </w:pPr>
            <w:r w:rsidRPr="00FB4C00">
              <w:t>p-value</w:t>
            </w:r>
          </w:p>
        </w:tc>
      </w:tr>
      <w:tr w:rsidR="000F69FB" w:rsidRPr="003A2270" w14:paraId="08F70CA7" w14:textId="77777777" w:rsidTr="000C26DE">
        <w:trPr>
          <w:jc w:val="center"/>
        </w:trPr>
        <w:tc>
          <w:tcPr>
            <w:tcW w:w="2161" w:type="dxa"/>
          </w:tcPr>
          <w:p w14:paraId="2F2B9DD7" w14:textId="77777777" w:rsidR="000F69FB" w:rsidRPr="00FB4C00" w:rsidRDefault="000F69FB" w:rsidP="000F69FB">
            <w:pPr>
              <w:pStyle w:val="Table"/>
              <w:ind w:firstLine="0"/>
            </w:pPr>
            <w:r w:rsidRPr="00FB4C00">
              <w:t>DRD1</w:t>
            </w:r>
          </w:p>
        </w:tc>
        <w:tc>
          <w:tcPr>
            <w:tcW w:w="1647" w:type="dxa"/>
          </w:tcPr>
          <w:p w14:paraId="375318D9" w14:textId="77777777" w:rsidR="000F69FB" w:rsidRPr="003A2270" w:rsidRDefault="000F69FB" w:rsidP="000F69FB">
            <w:pPr>
              <w:pStyle w:val="Table"/>
              <w:ind w:firstLine="0"/>
            </w:pPr>
            <w:r w:rsidRPr="003A2270">
              <w:t>26, 29</w:t>
            </w:r>
          </w:p>
        </w:tc>
        <w:tc>
          <w:tcPr>
            <w:tcW w:w="1983" w:type="dxa"/>
          </w:tcPr>
          <w:p w14:paraId="09ED0B36" w14:textId="77777777" w:rsidR="000F69FB" w:rsidRPr="003A2270" w:rsidRDefault="000F69FB" w:rsidP="000F69FB">
            <w:pPr>
              <w:pStyle w:val="Table"/>
              <w:ind w:firstLine="0"/>
            </w:pPr>
            <w:r w:rsidRPr="003A2270">
              <w:t>11</w:t>
            </w:r>
          </w:p>
        </w:tc>
        <w:tc>
          <w:tcPr>
            <w:tcW w:w="945" w:type="dxa"/>
          </w:tcPr>
          <w:p w14:paraId="65D3C9F1" w14:textId="77777777" w:rsidR="000F69FB" w:rsidRPr="003A2270" w:rsidRDefault="000F69FB" w:rsidP="000F69FB">
            <w:pPr>
              <w:pStyle w:val="Table"/>
              <w:ind w:firstLine="0"/>
            </w:pPr>
            <w:r w:rsidRPr="003A2270">
              <w:t>0.841</w:t>
            </w:r>
          </w:p>
        </w:tc>
      </w:tr>
    </w:tbl>
    <w:p w14:paraId="08AD1DF1" w14:textId="4EE7F783" w:rsidR="003A4547" w:rsidRDefault="000F69FB" w:rsidP="005B2B2A">
      <w:pPr>
        <w:pStyle w:val="FigureLegend"/>
      </w:pPr>
      <w:bookmarkStart w:id="6" w:name="_Toc408487683"/>
      <w:bookmarkStart w:id="7" w:name="_Toc409012776"/>
      <w:bookmarkStart w:id="8" w:name="_Toc409016018"/>
      <w:bookmarkStart w:id="9" w:name="_Toc409082433"/>
      <w:r w:rsidRPr="0093586E">
        <w:rPr>
          <w:b/>
        </w:rPr>
        <w:t xml:space="preserve">Table </w:t>
      </w:r>
      <w:r w:rsidR="002715B1" w:rsidRPr="0093586E">
        <w:rPr>
          <w:b/>
        </w:rPr>
        <w:t>A</w:t>
      </w:r>
      <w:r w:rsidRPr="0093586E">
        <w:rPr>
          <w:b/>
        </w:rPr>
        <w:t xml:space="preserve">. Quantitative real-time PCR (qPCR) of gene expression results from the left auditory cortex. </w:t>
      </w:r>
      <w:r w:rsidRPr="003A2270">
        <w:t>Significant differences underlined.</w:t>
      </w:r>
      <w:bookmarkStart w:id="10" w:name="_GoBack"/>
      <w:bookmarkEnd w:id="6"/>
      <w:bookmarkEnd w:id="7"/>
      <w:bookmarkEnd w:id="8"/>
      <w:bookmarkEnd w:id="9"/>
      <w:bookmarkEnd w:id="10"/>
    </w:p>
    <w:sectPr w:rsidR="003A45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FB7D7" w14:textId="77777777" w:rsidR="009D778D" w:rsidRDefault="009D778D" w:rsidP="000F69FB">
      <w:pPr>
        <w:spacing w:after="0" w:line="240" w:lineRule="auto"/>
      </w:pPr>
      <w:r>
        <w:separator/>
      </w:r>
    </w:p>
  </w:endnote>
  <w:endnote w:type="continuationSeparator" w:id="0">
    <w:p w14:paraId="7445A90C" w14:textId="77777777" w:rsidR="009D778D" w:rsidRDefault="009D778D" w:rsidP="000F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8945" w14:textId="77777777" w:rsidR="009D778D" w:rsidRDefault="009D778D" w:rsidP="000F69FB">
      <w:pPr>
        <w:spacing w:after="0" w:line="240" w:lineRule="auto"/>
      </w:pPr>
      <w:r>
        <w:separator/>
      </w:r>
    </w:p>
  </w:footnote>
  <w:footnote w:type="continuationSeparator" w:id="0">
    <w:p w14:paraId="369A21D1" w14:textId="77777777" w:rsidR="009D778D" w:rsidRDefault="009D778D" w:rsidP="000F6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3D15"/>
    <w:multiLevelType w:val="multilevel"/>
    <w:tmpl w:val="28802CF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A4744F9"/>
    <w:multiLevelType w:val="multilevel"/>
    <w:tmpl w:val="A816CAA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5ztp2s9e25faefvp65zxwsvrer0f9fssvd&quot;&gt;New Research&lt;record-ids&gt;&lt;item&gt;906&lt;/item&gt;&lt;/record-ids&gt;&lt;/item&gt;&lt;item db-id=&quot;2t0e5t00rpfewved92pva205pev99rr2t9ps&quot;&gt;Developmental Study&lt;record-ids&gt;&lt;item&gt;22&lt;/item&gt;&lt;item&gt;34&lt;/item&gt;&lt;item&gt;116&lt;/item&gt;&lt;item&gt;123&lt;/item&gt;&lt;item&gt;239&lt;/item&gt;&lt;/record-ids&gt;&lt;/item&gt;&lt;/Libraries&gt;"/>
  </w:docVars>
  <w:rsids>
    <w:rsidRoot w:val="00B242CD"/>
    <w:rsid w:val="0002279F"/>
    <w:rsid w:val="00030D54"/>
    <w:rsid w:val="00071042"/>
    <w:rsid w:val="000A4F32"/>
    <w:rsid w:val="000C26DE"/>
    <w:rsid w:val="000C5F43"/>
    <w:rsid w:val="000D19AC"/>
    <w:rsid w:val="000F4222"/>
    <w:rsid w:val="000F69FB"/>
    <w:rsid w:val="001143DB"/>
    <w:rsid w:val="00125D08"/>
    <w:rsid w:val="00161652"/>
    <w:rsid w:val="00162A31"/>
    <w:rsid w:val="00165DDD"/>
    <w:rsid w:val="0017692F"/>
    <w:rsid w:val="001C3C38"/>
    <w:rsid w:val="001E4065"/>
    <w:rsid w:val="001F0267"/>
    <w:rsid w:val="00207039"/>
    <w:rsid w:val="00207AAA"/>
    <w:rsid w:val="0021647B"/>
    <w:rsid w:val="002319FE"/>
    <w:rsid w:val="002337E6"/>
    <w:rsid w:val="002446C7"/>
    <w:rsid w:val="00256AFC"/>
    <w:rsid w:val="002715B1"/>
    <w:rsid w:val="002A43B8"/>
    <w:rsid w:val="002B4740"/>
    <w:rsid w:val="002B48D2"/>
    <w:rsid w:val="002F4436"/>
    <w:rsid w:val="00316CC7"/>
    <w:rsid w:val="0032052A"/>
    <w:rsid w:val="003214CA"/>
    <w:rsid w:val="00350563"/>
    <w:rsid w:val="003631E2"/>
    <w:rsid w:val="00371F4C"/>
    <w:rsid w:val="003769B3"/>
    <w:rsid w:val="003800EE"/>
    <w:rsid w:val="00391AAB"/>
    <w:rsid w:val="003A4379"/>
    <w:rsid w:val="003A4547"/>
    <w:rsid w:val="003A6F0B"/>
    <w:rsid w:val="003D076A"/>
    <w:rsid w:val="003D76A3"/>
    <w:rsid w:val="00416667"/>
    <w:rsid w:val="004242E2"/>
    <w:rsid w:val="004548D0"/>
    <w:rsid w:val="0046284B"/>
    <w:rsid w:val="00466FB5"/>
    <w:rsid w:val="004B5418"/>
    <w:rsid w:val="004D6427"/>
    <w:rsid w:val="004E5E4B"/>
    <w:rsid w:val="004E6464"/>
    <w:rsid w:val="00517816"/>
    <w:rsid w:val="00517C97"/>
    <w:rsid w:val="00522504"/>
    <w:rsid w:val="00570192"/>
    <w:rsid w:val="005822C1"/>
    <w:rsid w:val="005B2B2A"/>
    <w:rsid w:val="005E5FB2"/>
    <w:rsid w:val="00614E5A"/>
    <w:rsid w:val="006A09A4"/>
    <w:rsid w:val="006B1B25"/>
    <w:rsid w:val="006D4FDE"/>
    <w:rsid w:val="007075DD"/>
    <w:rsid w:val="007243BF"/>
    <w:rsid w:val="00746AB9"/>
    <w:rsid w:val="00750088"/>
    <w:rsid w:val="00784A0D"/>
    <w:rsid w:val="007A0006"/>
    <w:rsid w:val="007B050B"/>
    <w:rsid w:val="007B6F32"/>
    <w:rsid w:val="007F6325"/>
    <w:rsid w:val="008021D1"/>
    <w:rsid w:val="008261E1"/>
    <w:rsid w:val="00833B54"/>
    <w:rsid w:val="00863808"/>
    <w:rsid w:val="0086576C"/>
    <w:rsid w:val="00871444"/>
    <w:rsid w:val="00880B17"/>
    <w:rsid w:val="0090529D"/>
    <w:rsid w:val="00926983"/>
    <w:rsid w:val="00930949"/>
    <w:rsid w:val="0093586E"/>
    <w:rsid w:val="00937B22"/>
    <w:rsid w:val="00940B25"/>
    <w:rsid w:val="00950479"/>
    <w:rsid w:val="0095291F"/>
    <w:rsid w:val="009B4EA8"/>
    <w:rsid w:val="009C56A8"/>
    <w:rsid w:val="009D778D"/>
    <w:rsid w:val="00A012DA"/>
    <w:rsid w:val="00A203F9"/>
    <w:rsid w:val="00A21C6F"/>
    <w:rsid w:val="00A23708"/>
    <w:rsid w:val="00A51B26"/>
    <w:rsid w:val="00A743FE"/>
    <w:rsid w:val="00AA7DDE"/>
    <w:rsid w:val="00AF16E0"/>
    <w:rsid w:val="00B13BB7"/>
    <w:rsid w:val="00B242CD"/>
    <w:rsid w:val="00B32D5B"/>
    <w:rsid w:val="00B43122"/>
    <w:rsid w:val="00B74953"/>
    <w:rsid w:val="00BC35A1"/>
    <w:rsid w:val="00BE6EC3"/>
    <w:rsid w:val="00BF1688"/>
    <w:rsid w:val="00C052D5"/>
    <w:rsid w:val="00C16014"/>
    <w:rsid w:val="00C3691C"/>
    <w:rsid w:val="00C41A71"/>
    <w:rsid w:val="00C93182"/>
    <w:rsid w:val="00CA5786"/>
    <w:rsid w:val="00CC6FD0"/>
    <w:rsid w:val="00CD2B9E"/>
    <w:rsid w:val="00D733DD"/>
    <w:rsid w:val="00D73BD7"/>
    <w:rsid w:val="00D75C78"/>
    <w:rsid w:val="00D8112F"/>
    <w:rsid w:val="00DA0877"/>
    <w:rsid w:val="00DA3040"/>
    <w:rsid w:val="00DD6909"/>
    <w:rsid w:val="00DE583C"/>
    <w:rsid w:val="00E0583C"/>
    <w:rsid w:val="00E27ABB"/>
    <w:rsid w:val="00E4480A"/>
    <w:rsid w:val="00E577C7"/>
    <w:rsid w:val="00E62B6C"/>
    <w:rsid w:val="00ED22E8"/>
    <w:rsid w:val="00EE5D05"/>
    <w:rsid w:val="00F80D74"/>
    <w:rsid w:val="00F87557"/>
    <w:rsid w:val="00F9500A"/>
    <w:rsid w:val="00FA0283"/>
    <w:rsid w:val="00FD2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B38"/>
  <w15:chartTrackingRefBased/>
  <w15:docId w15:val="{B32C6338-D174-4AA9-82B2-D5F08D63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1647B"/>
    <w:pPr>
      <w:keepNext/>
      <w:keepLines/>
      <w:spacing w:before="120" w:after="240" w:line="240" w:lineRule="auto"/>
      <w:outlineLvl w:val="0"/>
    </w:pPr>
    <w:rPr>
      <w:rFonts w:ascii="Times New Roman" w:eastAsiaTheme="majorEastAsia" w:hAnsi="Times New Roman" w:cs="Times New Roman"/>
      <w:b/>
      <w:bCs/>
      <w:noProof/>
      <w:color w:val="000000" w:themeColor="text1"/>
      <w:sz w:val="28"/>
      <w:szCs w:val="28"/>
      <w:lang w:val="en-US" w:eastAsia="en-AU" w:bidi="en-US"/>
    </w:rPr>
  </w:style>
  <w:style w:type="paragraph" w:styleId="Heading2">
    <w:name w:val="heading 2"/>
    <w:basedOn w:val="Normal"/>
    <w:next w:val="Normal"/>
    <w:link w:val="Heading2Char"/>
    <w:autoRedefine/>
    <w:uiPriority w:val="9"/>
    <w:unhideWhenUsed/>
    <w:qFormat/>
    <w:rsid w:val="00C3691C"/>
    <w:pPr>
      <w:keepNext/>
      <w:keepLines/>
      <w:spacing w:before="120" w:after="240" w:line="240" w:lineRule="auto"/>
      <w:contextualSpacing/>
      <w:outlineLvl w:val="1"/>
    </w:pPr>
    <w:rPr>
      <w:rFonts w:ascii="Times New Roman" w:eastAsiaTheme="majorEastAsia" w:hAnsi="Times New Roman" w:cstheme="majorBidi"/>
      <w:b/>
      <w:bCs/>
      <w:i/>
      <w:color w:val="000000" w:themeColor="text1"/>
      <w:sz w:val="32"/>
      <w:szCs w:val="24"/>
      <w:lang w:val="en-US" w:eastAsia="en-AU" w:bidi="en-US"/>
    </w:rPr>
  </w:style>
  <w:style w:type="paragraph" w:styleId="Heading3">
    <w:name w:val="heading 3"/>
    <w:basedOn w:val="Normal"/>
    <w:next w:val="Normal"/>
    <w:link w:val="Heading3Char"/>
    <w:autoRedefine/>
    <w:uiPriority w:val="9"/>
    <w:unhideWhenUsed/>
    <w:qFormat/>
    <w:rsid w:val="000A4F32"/>
    <w:pPr>
      <w:keepNext/>
      <w:keepLines/>
      <w:spacing w:before="120" w:after="240" w:line="240" w:lineRule="auto"/>
      <w:outlineLvl w:val="2"/>
    </w:pPr>
    <w:rPr>
      <w:rFonts w:ascii="Times New Roman" w:eastAsiaTheme="majorEastAsia" w:hAnsi="Times New Roman" w:cstheme="majorBidi"/>
      <w:bCs/>
      <w:i/>
      <w:color w:val="000000" w:themeColor="text1"/>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47B"/>
    <w:rPr>
      <w:rFonts w:ascii="Times New Roman" w:eastAsiaTheme="majorEastAsia" w:hAnsi="Times New Roman" w:cs="Times New Roman"/>
      <w:b/>
      <w:bCs/>
      <w:noProof/>
      <w:color w:val="000000" w:themeColor="text1"/>
      <w:sz w:val="28"/>
      <w:szCs w:val="28"/>
      <w:lang w:val="en-US" w:eastAsia="en-AU" w:bidi="en-US"/>
    </w:rPr>
  </w:style>
  <w:style w:type="character" w:customStyle="1" w:styleId="Heading2Char">
    <w:name w:val="Heading 2 Char"/>
    <w:basedOn w:val="DefaultParagraphFont"/>
    <w:link w:val="Heading2"/>
    <w:uiPriority w:val="9"/>
    <w:rsid w:val="00C3691C"/>
    <w:rPr>
      <w:rFonts w:ascii="Times New Roman" w:eastAsiaTheme="majorEastAsia" w:hAnsi="Times New Roman" w:cstheme="majorBidi"/>
      <w:b/>
      <w:bCs/>
      <w:i/>
      <w:color w:val="000000" w:themeColor="text1"/>
      <w:sz w:val="32"/>
      <w:szCs w:val="24"/>
      <w:lang w:val="en-US" w:eastAsia="en-AU" w:bidi="en-US"/>
    </w:rPr>
  </w:style>
  <w:style w:type="character" w:customStyle="1" w:styleId="Heading3Char">
    <w:name w:val="Heading 3 Char"/>
    <w:basedOn w:val="DefaultParagraphFont"/>
    <w:link w:val="Heading3"/>
    <w:uiPriority w:val="9"/>
    <w:rsid w:val="000A4F32"/>
    <w:rPr>
      <w:rFonts w:ascii="Times New Roman" w:eastAsiaTheme="majorEastAsia" w:hAnsi="Times New Roman" w:cstheme="majorBidi"/>
      <w:bCs/>
      <w:i/>
      <w:color w:val="000000" w:themeColor="text1"/>
      <w:kern w:val="1"/>
      <w:sz w:val="24"/>
      <w:szCs w:val="24"/>
    </w:rPr>
  </w:style>
  <w:style w:type="paragraph" w:customStyle="1" w:styleId="FigureLegend">
    <w:name w:val="Figure Legend"/>
    <w:basedOn w:val="Normal"/>
    <w:link w:val="FigureLegendChar"/>
    <w:autoRedefine/>
    <w:qFormat/>
    <w:rsid w:val="0021647B"/>
    <w:pPr>
      <w:spacing w:after="240" w:line="240" w:lineRule="auto"/>
      <w:contextualSpacing/>
      <w:jc w:val="both"/>
    </w:pPr>
    <w:rPr>
      <w:rFonts w:ascii="Times New Roman" w:eastAsiaTheme="minorEastAsia" w:hAnsi="Times New Roman"/>
      <w:color w:val="000000" w:themeColor="text1"/>
      <w:sz w:val="20"/>
      <w:szCs w:val="24"/>
      <w:lang w:val="en-US" w:eastAsia="en-AU" w:bidi="en-US"/>
    </w:rPr>
  </w:style>
  <w:style w:type="character" w:customStyle="1" w:styleId="FigureLegendChar">
    <w:name w:val="Figure Legend Char"/>
    <w:basedOn w:val="DefaultParagraphFont"/>
    <w:link w:val="FigureLegend"/>
    <w:rsid w:val="0021647B"/>
    <w:rPr>
      <w:rFonts w:ascii="Times New Roman" w:eastAsiaTheme="minorEastAsia" w:hAnsi="Times New Roman"/>
      <w:color w:val="000000" w:themeColor="text1"/>
      <w:sz w:val="20"/>
      <w:szCs w:val="24"/>
      <w:lang w:val="en-US" w:eastAsia="en-AU" w:bidi="en-US"/>
    </w:rPr>
  </w:style>
  <w:style w:type="table" w:styleId="TableGrid">
    <w:name w:val="Table Grid"/>
    <w:basedOn w:val="TableNormal"/>
    <w:uiPriority w:val="59"/>
    <w:rsid w:val="0021647B"/>
    <w:pPr>
      <w:spacing w:after="200" w:line="276" w:lineRule="auto"/>
      <w:ind w:firstLine="720"/>
    </w:pPr>
    <w:rPr>
      <w:rFonts w:ascii="Times New Roman" w:eastAsia="Times New Roman" w:hAnsi="Times New Roman"/>
      <w:lang w:val="en-US" w:eastAsia="en-A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scriptBody">
    <w:name w:val="Manuscript Body"/>
    <w:basedOn w:val="Normal"/>
    <w:link w:val="ManuscriptBodyChar"/>
    <w:qFormat/>
    <w:rsid w:val="0021647B"/>
    <w:pPr>
      <w:spacing w:after="200" w:line="480" w:lineRule="auto"/>
      <w:ind w:firstLine="567"/>
      <w:contextualSpacing/>
      <w:jc w:val="both"/>
    </w:pPr>
    <w:rPr>
      <w:rFonts w:ascii="Times New Roman" w:eastAsiaTheme="minorEastAsia" w:hAnsi="Times New Roman"/>
      <w:color w:val="000000" w:themeColor="text1"/>
      <w:sz w:val="20"/>
      <w:szCs w:val="20"/>
      <w:lang w:val="en-US" w:eastAsia="en-AU" w:bidi="en-US"/>
    </w:rPr>
  </w:style>
  <w:style w:type="character" w:customStyle="1" w:styleId="ManuscriptBodyChar">
    <w:name w:val="Manuscript Body Char"/>
    <w:basedOn w:val="DefaultParagraphFont"/>
    <w:link w:val="ManuscriptBody"/>
    <w:rsid w:val="0021647B"/>
    <w:rPr>
      <w:rFonts w:ascii="Times New Roman" w:eastAsiaTheme="minorEastAsia" w:hAnsi="Times New Roman"/>
      <w:color w:val="000000" w:themeColor="text1"/>
      <w:sz w:val="20"/>
      <w:szCs w:val="20"/>
      <w:lang w:val="en-US" w:eastAsia="en-AU" w:bidi="en-US"/>
    </w:rPr>
  </w:style>
  <w:style w:type="paragraph" w:customStyle="1" w:styleId="Table">
    <w:name w:val="Table"/>
    <w:basedOn w:val="Normal"/>
    <w:link w:val="TableChar"/>
    <w:qFormat/>
    <w:rsid w:val="0021647B"/>
    <w:pPr>
      <w:keepNext/>
      <w:keepLines/>
      <w:spacing w:after="0" w:line="240" w:lineRule="auto"/>
      <w:contextualSpacing/>
    </w:pPr>
    <w:rPr>
      <w:rFonts w:ascii="Times New Roman" w:eastAsiaTheme="majorEastAsia" w:hAnsi="Times New Roman" w:cs="Times New Roman"/>
      <w:bCs/>
      <w:noProof/>
      <w:color w:val="000000" w:themeColor="text1"/>
      <w:sz w:val="20"/>
      <w:szCs w:val="20"/>
      <w:lang w:val="en-US" w:eastAsia="en-AU" w:bidi="en-US"/>
    </w:rPr>
  </w:style>
  <w:style w:type="character" w:customStyle="1" w:styleId="TableChar">
    <w:name w:val="Table Char"/>
    <w:basedOn w:val="DefaultParagraphFont"/>
    <w:link w:val="Table"/>
    <w:rsid w:val="0021647B"/>
    <w:rPr>
      <w:rFonts w:ascii="Times New Roman" w:eastAsiaTheme="majorEastAsia" w:hAnsi="Times New Roman" w:cs="Times New Roman"/>
      <w:bCs/>
      <w:noProof/>
      <w:color w:val="000000" w:themeColor="text1"/>
      <w:sz w:val="20"/>
      <w:szCs w:val="20"/>
      <w:lang w:val="en-US" w:eastAsia="en-AU" w:bidi="en-US"/>
    </w:rPr>
  </w:style>
  <w:style w:type="paragraph" w:styleId="ListParagraph">
    <w:name w:val="List Paragraph"/>
    <w:basedOn w:val="Normal"/>
    <w:uiPriority w:val="34"/>
    <w:qFormat/>
    <w:rsid w:val="002319FE"/>
    <w:pPr>
      <w:ind w:left="720"/>
      <w:contextualSpacing/>
    </w:pPr>
  </w:style>
  <w:style w:type="paragraph" w:customStyle="1" w:styleId="Figure">
    <w:name w:val="Figure"/>
    <w:basedOn w:val="Normal"/>
    <w:link w:val="FigureChar"/>
    <w:autoRedefine/>
    <w:qFormat/>
    <w:rsid w:val="00930949"/>
    <w:pPr>
      <w:spacing w:after="0" w:line="240" w:lineRule="auto"/>
      <w:contextualSpacing/>
      <w:jc w:val="center"/>
    </w:pPr>
    <w:rPr>
      <w:rFonts w:ascii="Times New Roman" w:hAnsi="Times New Roman"/>
      <w:noProof/>
      <w:color w:val="000000" w:themeColor="text1"/>
      <w:sz w:val="24"/>
      <w:lang w:eastAsia="en-AU"/>
    </w:rPr>
  </w:style>
  <w:style w:type="character" w:customStyle="1" w:styleId="FigureChar">
    <w:name w:val="Figure Char"/>
    <w:basedOn w:val="DefaultParagraphFont"/>
    <w:link w:val="Figure"/>
    <w:rsid w:val="00930949"/>
    <w:rPr>
      <w:rFonts w:ascii="Times New Roman" w:hAnsi="Times New Roman"/>
      <w:noProof/>
      <w:color w:val="000000" w:themeColor="text1"/>
      <w:sz w:val="24"/>
      <w:lang w:eastAsia="en-AU"/>
    </w:rPr>
  </w:style>
  <w:style w:type="paragraph" w:customStyle="1" w:styleId="EndNoteBibliographyTitle">
    <w:name w:val="EndNote Bibliography Title"/>
    <w:basedOn w:val="Normal"/>
    <w:link w:val="EndNoteBibliographyTitleChar"/>
    <w:rsid w:val="00570192"/>
    <w:pPr>
      <w:spacing w:after="0"/>
      <w:jc w:val="center"/>
    </w:pPr>
    <w:rPr>
      <w:rFonts w:ascii="Times New Roman" w:hAnsi="Times New Roman" w:cs="Times New Roman"/>
      <w:noProof/>
      <w:sz w:val="20"/>
      <w:lang w:val="en-US"/>
    </w:rPr>
  </w:style>
  <w:style w:type="character" w:customStyle="1" w:styleId="EndNoteBibliographyTitleChar">
    <w:name w:val="EndNote Bibliography Title Char"/>
    <w:basedOn w:val="DefaultParagraphFont"/>
    <w:link w:val="EndNoteBibliographyTitle"/>
    <w:rsid w:val="00570192"/>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570192"/>
    <w:pPr>
      <w:spacing w:line="240" w:lineRule="auto"/>
      <w:jc w:val="both"/>
    </w:pPr>
    <w:rPr>
      <w:rFonts w:ascii="Times New Roman" w:hAnsi="Times New Roman" w:cs="Times New Roman"/>
      <w:noProof/>
      <w:sz w:val="20"/>
      <w:lang w:val="en-US"/>
    </w:rPr>
  </w:style>
  <w:style w:type="character" w:customStyle="1" w:styleId="EndNoteBibliographyChar">
    <w:name w:val="EndNote Bibliography Char"/>
    <w:basedOn w:val="DefaultParagraphFont"/>
    <w:link w:val="EndNoteBibliography"/>
    <w:rsid w:val="00570192"/>
    <w:rPr>
      <w:rFonts w:ascii="Times New Roman" w:hAnsi="Times New Roman" w:cs="Times New Roman"/>
      <w:noProof/>
      <w:sz w:val="20"/>
      <w:lang w:val="en-US"/>
    </w:rPr>
  </w:style>
  <w:style w:type="paragraph" w:styleId="NormalWeb">
    <w:name w:val="Normal (Web)"/>
    <w:basedOn w:val="Normal"/>
    <w:uiPriority w:val="99"/>
    <w:semiHidden/>
    <w:unhideWhenUsed/>
    <w:rsid w:val="00FA028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207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039"/>
  </w:style>
  <w:style w:type="paragraph" w:styleId="Footer">
    <w:name w:val="footer"/>
    <w:basedOn w:val="Normal"/>
    <w:link w:val="FooterChar"/>
    <w:uiPriority w:val="99"/>
    <w:unhideWhenUsed/>
    <w:rsid w:val="00207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39"/>
  </w:style>
  <w:style w:type="character" w:styleId="CommentReference">
    <w:name w:val="annotation reference"/>
    <w:basedOn w:val="DefaultParagraphFont"/>
    <w:uiPriority w:val="99"/>
    <w:rsid w:val="00A51B26"/>
    <w:rPr>
      <w:sz w:val="16"/>
      <w:szCs w:val="16"/>
    </w:rPr>
  </w:style>
  <w:style w:type="paragraph" w:styleId="CommentText">
    <w:name w:val="annotation text"/>
    <w:basedOn w:val="Normal"/>
    <w:link w:val="CommentTextChar"/>
    <w:uiPriority w:val="99"/>
    <w:rsid w:val="00A51B26"/>
    <w:pPr>
      <w:spacing w:after="0" w:line="240" w:lineRule="auto"/>
      <w:ind w:firstLine="720"/>
      <w:jc w:val="both"/>
    </w:pPr>
    <w:rPr>
      <w:rFonts w:ascii="Times New Roman" w:eastAsia="SimSun" w:hAnsi="Times New Roman" w:cs="Times New Roman"/>
      <w:color w:val="000000" w:themeColor="text1"/>
      <w:sz w:val="20"/>
      <w:szCs w:val="20"/>
      <w:lang w:eastAsia="zh-CN"/>
    </w:rPr>
  </w:style>
  <w:style w:type="character" w:customStyle="1" w:styleId="CommentTextChar">
    <w:name w:val="Comment Text Char"/>
    <w:basedOn w:val="DefaultParagraphFont"/>
    <w:link w:val="CommentText"/>
    <w:uiPriority w:val="99"/>
    <w:rsid w:val="00A51B26"/>
    <w:rPr>
      <w:rFonts w:ascii="Times New Roman" w:eastAsia="SimSun" w:hAnsi="Times New Roman" w:cs="Times New Roman"/>
      <w:color w:val="000000" w:themeColor="text1"/>
      <w:sz w:val="20"/>
      <w:szCs w:val="20"/>
      <w:lang w:eastAsia="zh-CN"/>
    </w:rPr>
  </w:style>
  <w:style w:type="paragraph" w:styleId="BalloonText">
    <w:name w:val="Balloon Text"/>
    <w:basedOn w:val="Normal"/>
    <w:link w:val="BalloonTextChar"/>
    <w:uiPriority w:val="99"/>
    <w:semiHidden/>
    <w:unhideWhenUsed/>
    <w:rsid w:val="00A51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B26"/>
    <w:rPr>
      <w:rFonts w:ascii="Segoe UI" w:hAnsi="Segoe UI" w:cs="Segoe UI"/>
      <w:sz w:val="18"/>
      <w:szCs w:val="18"/>
    </w:rPr>
  </w:style>
  <w:style w:type="character" w:styleId="Hyperlink">
    <w:name w:val="Hyperlink"/>
    <w:basedOn w:val="DefaultParagraphFont"/>
    <w:uiPriority w:val="99"/>
    <w:unhideWhenUsed/>
    <w:rsid w:val="00B13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Yates</dc:creator>
  <cp:keywords/>
  <dc:description/>
  <cp:lastModifiedBy>Nathanael Yates</cp:lastModifiedBy>
  <cp:revision>6</cp:revision>
  <dcterms:created xsi:type="dcterms:W3CDTF">2016-11-17T15:03:00Z</dcterms:created>
  <dcterms:modified xsi:type="dcterms:W3CDTF">2016-11-17T15:57:00Z</dcterms:modified>
</cp:coreProperties>
</file>