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71D4" w14:textId="77777777" w:rsidR="00C052D5" w:rsidRPr="00B32D5B" w:rsidRDefault="00C052D5" w:rsidP="00B32D5B">
      <w:pPr>
        <w:pStyle w:val="Heading1"/>
      </w:pPr>
      <w:bookmarkStart w:id="0" w:name="_Toc409018267"/>
      <w:bookmarkStart w:id="1" w:name="_Toc409082827"/>
    </w:p>
    <w:p w14:paraId="3D509D78" w14:textId="77777777" w:rsidR="0021647B" w:rsidRDefault="00C052D5" w:rsidP="00C3691C">
      <w:pPr>
        <w:pStyle w:val="Heading2"/>
      </w:pPr>
      <w:r>
        <w:t>SUPPLEMENTARY</w:t>
      </w:r>
      <w:r w:rsidR="00B32D5B">
        <w:t xml:space="preserve"> DATA</w:t>
      </w:r>
    </w:p>
    <w:p w14:paraId="4D82D25A" w14:textId="77777777" w:rsidR="0021647B" w:rsidRPr="003A2270" w:rsidRDefault="00FD2EC8" w:rsidP="004548D0">
      <w:pPr>
        <w:pStyle w:val="Heading1"/>
      </w:pPr>
      <w:bookmarkStart w:id="2" w:name="_Toc409018268"/>
      <w:bookmarkStart w:id="3" w:name="_Toc409082828"/>
      <w:bookmarkEnd w:id="0"/>
      <w:bookmarkEnd w:id="1"/>
      <w:r>
        <w:t>S</w:t>
      </w:r>
      <w:r w:rsidR="0021647B" w:rsidRPr="003A2270">
        <w:t>.</w:t>
      </w:r>
      <w:r>
        <w:t>2</w:t>
      </w:r>
      <w:r w:rsidR="0021647B" w:rsidRPr="003A2270">
        <w:t xml:space="preserve"> Electrophysiology</w:t>
      </w:r>
      <w:r w:rsidR="00B32D5B">
        <w:t xml:space="preserve"> Acquisition and Stimuli</w:t>
      </w:r>
      <w:bookmarkEnd w:id="2"/>
      <w:bookmarkEnd w:id="3"/>
    </w:p>
    <w:p w14:paraId="2ECCB3F1" w14:textId="77777777" w:rsidR="0021647B" w:rsidRPr="00A15D38" w:rsidRDefault="0021647B" w:rsidP="0021647B">
      <w:pPr>
        <w:rPr>
          <w:szCs w:val="24"/>
        </w:rPr>
      </w:pPr>
      <w:r w:rsidRPr="00A15D38">
        <w:rPr>
          <w:kern w:val="1"/>
          <w:szCs w:val="24"/>
        </w:rPr>
        <w:t>The electrophysiology protocol used an AEP procedure that allows for assessment of function of multiple auditory sensory nuclei from the cochlear to the auditory cortex. The protocol also allowed for determination of sensory gating and brain synchronisation, core deficits in schizophrenia.</w:t>
      </w:r>
    </w:p>
    <w:p w14:paraId="7E1FF7F1" w14:textId="77777777" w:rsidR="0021647B" w:rsidRPr="003A2270" w:rsidRDefault="00FD2EC8" w:rsidP="0021647B">
      <w:pPr>
        <w:pStyle w:val="Heading3"/>
      </w:pPr>
      <w:r>
        <w:t>S</w:t>
      </w:r>
      <w:r w:rsidR="0021647B" w:rsidRPr="003A2270">
        <w:t>.</w:t>
      </w:r>
      <w:r>
        <w:t>2</w:t>
      </w:r>
      <w:r w:rsidR="0021647B" w:rsidRPr="003A2270">
        <w:t>.1 Auditory brainstem response (ABR)</w:t>
      </w:r>
    </w:p>
    <w:p w14:paraId="2B77DF20" w14:textId="4BE40E85" w:rsidR="0021647B" w:rsidRDefault="0021647B" w:rsidP="0021647B">
      <w:pPr>
        <w:rPr>
          <w:kern w:val="1"/>
          <w:szCs w:val="24"/>
        </w:rPr>
      </w:pPr>
      <w:r w:rsidRPr="00A15D38">
        <w:rPr>
          <w:kern w:val="1"/>
          <w:szCs w:val="24"/>
        </w:rPr>
        <w:t>Auditory brainstem responses were determined using 0.1 ms click stimulus trains presented at 10/s, in ten descending 5 dB steps, to determine auditory threshold. The recordings were band-pass filtered from 300 to 3000 Hz with a sampling rate of 40 kHz. Threshold was determined as the SPL where a peak IV/V could no longer be seen within 5dB accuracy. This threshold was then used to scale the sound intensity for other AEP experiments. Animals were excluded from further analysis if threshold was greater than 43 dB SPL due to limitations in sound card output.</w:t>
      </w:r>
      <w:r w:rsidR="00614E5A">
        <w:rPr>
          <w:kern w:val="1"/>
          <w:szCs w:val="24"/>
        </w:rPr>
        <w:t xml:space="preserve"> Testing was based upon Yates et al. </w:t>
      </w:r>
      <w:r w:rsidR="00614E5A">
        <w:rPr>
          <w:kern w:val="1"/>
          <w:szCs w:val="24"/>
        </w:rPr>
        <w:fldChar w:fldCharType="begin"/>
      </w:r>
      <w:r w:rsidR="00170B20">
        <w:rPr>
          <w:kern w:val="1"/>
          <w:szCs w:val="24"/>
        </w:rPr>
        <w:instrText xml:space="preserve"> ADDIN EN.CITE &lt;EndNote&gt;&lt;Cite ExcludeAuth="1"&gt;&lt;Author&gt;Yates&lt;/Author&gt;&lt;Year&gt;2014&lt;/Year&gt;&lt;RecNum&gt;286&lt;/RecNum&gt;&lt;DisplayText&gt;[1]&lt;/DisplayText&gt;&lt;record&gt;&lt;rec-number&gt;286&lt;/rec-number&gt;&lt;foreign-keys&gt;&lt;key app="EN" db-id="00radttrhft507ezfs5vzpz3zswda5rdfzrx" timestamp="1420701512"&gt;286&lt;/key&gt;&lt;/foreign-keys&gt;&lt;ref-type name="Journal Article"&gt;17&lt;/ref-type&gt;&lt;contributors&gt;&lt;authors&gt;&lt;author&gt;Yates, Nathanael&lt;/author&gt;&lt;author&gt;Robertson, Donald&lt;/author&gt;&lt;author&gt;Martin-Iverson, Mathew&lt;/author&gt;&lt;author&gt;Rodger, Jennifer&lt;/author&gt;&lt;/authors&gt;&lt;/contributors&gt;&lt;titles&gt;&lt;title&gt;Auditory Brainstem Responses of Ephrin-A2-/-, Ephrin-A5-/-and Ephrin-A2A5-/-Mice&lt;/title&gt;&lt;secondary-title&gt;Audiology and Neurotology&lt;/secondary-title&gt;&lt;/titles&gt;&lt;periodical&gt;&lt;full-title&gt;Audiology and Neurotology&lt;/full-title&gt;&lt;/periodical&gt;&lt;pages&gt;115-126&lt;/pages&gt;&lt;volume&gt;19&lt;/volume&gt;&lt;number&gt;2&lt;/number&gt;&lt;dates&gt;&lt;year&gt;2014&lt;/year&gt;&lt;/dates&gt;&lt;isbn&gt;1421-9700&lt;/isbn&gt;&lt;urls&gt;&lt;related-urls&gt;&lt;url&gt;http://www.karger.com/Article/Pdf/357029&lt;/url&gt;&lt;/related-urls&gt;&lt;/urls&gt;&lt;/record&gt;&lt;/Cite&gt;&lt;/EndNote&gt;</w:instrText>
      </w:r>
      <w:r w:rsidR="00614E5A">
        <w:rPr>
          <w:kern w:val="1"/>
          <w:szCs w:val="24"/>
        </w:rPr>
        <w:fldChar w:fldCharType="separate"/>
      </w:r>
      <w:r w:rsidR="00170B20">
        <w:rPr>
          <w:noProof/>
          <w:kern w:val="1"/>
          <w:szCs w:val="24"/>
        </w:rPr>
        <w:t>[1]</w:t>
      </w:r>
      <w:r w:rsidR="00614E5A">
        <w:rPr>
          <w:kern w:val="1"/>
          <w:szCs w:val="24"/>
        </w:rPr>
        <w:fldChar w:fldCharType="end"/>
      </w:r>
      <w:r w:rsidR="00614E5A">
        <w:rPr>
          <w:kern w:val="1"/>
          <w:szCs w:val="24"/>
        </w:rPr>
        <w:t>.</w:t>
      </w:r>
      <w:r w:rsidR="001C3C38">
        <w:rPr>
          <w:kern w:val="1"/>
          <w:szCs w:val="24"/>
        </w:rPr>
        <w:t xml:space="preserve"> Example traces are shown in Figure S.2.</w:t>
      </w:r>
    </w:p>
    <w:p w14:paraId="30B78ACB" w14:textId="77777777" w:rsidR="00880B17" w:rsidRDefault="00880B17" w:rsidP="0021647B">
      <w:pPr>
        <w:rPr>
          <w:kern w:val="1"/>
          <w:szCs w:val="24"/>
        </w:rPr>
      </w:pPr>
    </w:p>
    <w:p w14:paraId="0C54621E" w14:textId="77777777" w:rsidR="004D6427" w:rsidRPr="003A2270" w:rsidRDefault="004D6427" w:rsidP="004D6427">
      <w:pPr>
        <w:pStyle w:val="Figure"/>
        <w:rPr>
          <w:sz w:val="22"/>
        </w:rPr>
      </w:pPr>
      <w:r w:rsidRPr="003A2270">
        <w:rPr>
          <w:sz w:val="22"/>
        </w:rPr>
        <w:drawing>
          <wp:inline distT="0" distB="0" distL="0" distR="0" wp14:anchorId="45C32325" wp14:editId="6A282C17">
            <wp:extent cx="5731510" cy="2371594"/>
            <wp:effectExtent l="19050" t="0" r="2540" b="0"/>
            <wp:docPr id="27" name="Picture 23" descr="ABR Exampl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 Examples.tif"/>
                    <pic:cNvPicPr/>
                  </pic:nvPicPr>
                  <pic:blipFill>
                    <a:blip r:embed="rId7" cstate="print"/>
                    <a:stretch>
                      <a:fillRect/>
                    </a:stretch>
                  </pic:blipFill>
                  <pic:spPr>
                    <a:xfrm>
                      <a:off x="0" y="0"/>
                      <a:ext cx="5731510" cy="2371594"/>
                    </a:xfrm>
                    <a:prstGeom prst="rect">
                      <a:avLst/>
                    </a:prstGeom>
                  </pic:spPr>
                </pic:pic>
              </a:graphicData>
            </a:graphic>
          </wp:inline>
        </w:drawing>
      </w:r>
    </w:p>
    <w:p w14:paraId="1C44E09B" w14:textId="26DFF6DD" w:rsidR="004D6427" w:rsidRPr="003A2270" w:rsidRDefault="004D6427" w:rsidP="004D6427">
      <w:pPr>
        <w:pStyle w:val="FigureLegend"/>
      </w:pPr>
      <w:r w:rsidRPr="00A0341C">
        <w:rPr>
          <w:rStyle w:val="FigureLegendBOLDChar"/>
        </w:rPr>
        <w:t xml:space="preserve">Fig </w:t>
      </w:r>
      <w:r w:rsidR="004F49F8" w:rsidRPr="00A0341C">
        <w:rPr>
          <w:rStyle w:val="FigureLegendBOLDChar"/>
        </w:rPr>
        <w:t>A</w:t>
      </w:r>
      <w:r w:rsidRPr="00A0341C">
        <w:rPr>
          <w:rStyle w:val="FigureLegendBOLDChar"/>
        </w:rPr>
        <w:t xml:space="preserve">. Example </w:t>
      </w:r>
      <w:r w:rsidR="004F49F8" w:rsidRPr="00A0341C">
        <w:rPr>
          <w:rStyle w:val="FigureLegendBOLDChar"/>
        </w:rPr>
        <w:t>Auditory brainstem response (</w:t>
      </w:r>
      <w:r w:rsidRPr="00A0341C">
        <w:rPr>
          <w:rStyle w:val="FigureLegendBOLDChar"/>
        </w:rPr>
        <w:t>ABR</w:t>
      </w:r>
      <w:r w:rsidR="004F49F8" w:rsidRPr="00A0341C">
        <w:rPr>
          <w:rStyle w:val="FigureLegendBOLDChar"/>
        </w:rPr>
        <w:t>)</w:t>
      </w:r>
      <w:r w:rsidRPr="00A0341C">
        <w:rPr>
          <w:rStyle w:val="FigureLegendBOLDChar"/>
        </w:rPr>
        <w:t xml:space="preserve"> traces</w:t>
      </w:r>
      <w:r w:rsidR="004F49F8" w:rsidRPr="00A0341C">
        <w:rPr>
          <w:rStyle w:val="FigureLegendBOLDChar"/>
        </w:rPr>
        <w:t>.</w:t>
      </w:r>
      <w:r w:rsidRPr="003A2270">
        <w:t xml:space="preserve"> CONTROL (Left panel) and DEX (Right panel) from 500 click presentations at 80dB SPL.</w:t>
      </w:r>
    </w:p>
    <w:p w14:paraId="19696DA2" w14:textId="77777777" w:rsidR="0021647B" w:rsidRPr="003A2270" w:rsidRDefault="001C3C38" w:rsidP="0021647B">
      <w:pPr>
        <w:pStyle w:val="Heading3"/>
      </w:pPr>
      <w:r>
        <w:t>S.</w:t>
      </w:r>
      <w:r w:rsidR="0021647B" w:rsidRPr="003A2270">
        <w:t>2.</w:t>
      </w:r>
      <w:r>
        <w:t>2</w:t>
      </w:r>
      <w:r w:rsidR="0021647B" w:rsidRPr="003A2270">
        <w:t xml:space="preserve"> Middle-latency auditory evoked potentials (MAEP) and Long-latency auditory evoked potentials (LAEP)</w:t>
      </w:r>
    </w:p>
    <w:p w14:paraId="7C9F92B9" w14:textId="12766A49" w:rsidR="00833B54" w:rsidRDefault="0021647B" w:rsidP="0021647B">
      <w:pPr>
        <w:rPr>
          <w:kern w:val="1"/>
          <w:szCs w:val="24"/>
        </w:rPr>
      </w:pPr>
      <w:r w:rsidRPr="00A15D38">
        <w:rPr>
          <w:kern w:val="1"/>
          <w:szCs w:val="24"/>
        </w:rPr>
        <w:t>The MAEP</w:t>
      </w:r>
      <w:r>
        <w:rPr>
          <w:kern w:val="1"/>
          <w:szCs w:val="24"/>
        </w:rPr>
        <w:t xml:space="preserve"> occurs anatomically and chronologically</w:t>
      </w:r>
      <w:r w:rsidRPr="00A15D38">
        <w:rPr>
          <w:kern w:val="1"/>
          <w:szCs w:val="24"/>
        </w:rPr>
        <w:t xml:space="preserve"> shortly after the ABR response.</w:t>
      </w:r>
      <w:r>
        <w:rPr>
          <w:kern w:val="1"/>
          <w:szCs w:val="24"/>
        </w:rPr>
        <w:t xml:space="preserve"> They were evoked by</w:t>
      </w:r>
      <w:r w:rsidRPr="00A15D38">
        <w:rPr>
          <w:kern w:val="1"/>
          <w:szCs w:val="24"/>
        </w:rPr>
        <w:t xml:space="preserve"> </w:t>
      </w:r>
      <w:r>
        <w:rPr>
          <w:kern w:val="1"/>
          <w:szCs w:val="24"/>
        </w:rPr>
        <w:t>0.1 ms c</w:t>
      </w:r>
      <w:r w:rsidRPr="00A15D38">
        <w:rPr>
          <w:kern w:val="1"/>
          <w:szCs w:val="24"/>
        </w:rPr>
        <w:t>lick</w:t>
      </w:r>
      <w:r>
        <w:rPr>
          <w:kern w:val="1"/>
          <w:szCs w:val="24"/>
        </w:rPr>
        <w:t>s</w:t>
      </w:r>
      <w:r w:rsidRPr="00A15D38">
        <w:rPr>
          <w:kern w:val="1"/>
          <w:szCs w:val="24"/>
        </w:rPr>
        <w:t xml:space="preserve"> at 1.5, 0.5 and 0.25 s inter-stimulus intervals (ISI), for a total of 100 trials at each ISI, 60 dB above threshold. </w:t>
      </w:r>
      <w:r>
        <w:rPr>
          <w:kern w:val="1"/>
          <w:szCs w:val="24"/>
        </w:rPr>
        <w:t>The recording covered the range of 50</w:t>
      </w:r>
      <w:r w:rsidRPr="00A15D38">
        <w:rPr>
          <w:kern w:val="1"/>
          <w:szCs w:val="24"/>
        </w:rPr>
        <w:t xml:space="preserve"> ms pre-stimulus </w:t>
      </w:r>
      <w:r>
        <w:rPr>
          <w:kern w:val="1"/>
          <w:szCs w:val="24"/>
        </w:rPr>
        <w:t xml:space="preserve">to </w:t>
      </w:r>
      <w:r w:rsidRPr="00A15D38">
        <w:rPr>
          <w:kern w:val="1"/>
          <w:szCs w:val="24"/>
        </w:rPr>
        <w:t xml:space="preserve">200 ms post-stimulus. Multiple ISI times were chosen to assess the documented habituation/fatigue effects of the MAEP and LAEP potentials in rats </w:t>
      </w:r>
      <w:r w:rsidRPr="00A15D38">
        <w:rPr>
          <w:kern w:val="1"/>
          <w:szCs w:val="24"/>
        </w:rPr>
        <w:fldChar w:fldCharType="begin"/>
      </w:r>
      <w:r w:rsidR="00170B20">
        <w:rPr>
          <w:kern w:val="1"/>
          <w:szCs w:val="24"/>
        </w:rPr>
        <w:instrText xml:space="preserve"> ADDIN EN.CITE &lt;EndNote&gt;&lt;Cite&gt;&lt;Author&gt;Knight&lt;/Author&gt;&lt;Year&gt;1985&lt;/Year&gt;&lt;RecNum&gt;116&lt;/RecNum&gt;&lt;DisplayText&gt;[2]&lt;/DisplayText&gt;&lt;record&gt;&lt;rec-number&gt;116&lt;/rec-number&gt;&lt;foreign-keys&gt;&lt;key app="EN" db-id="2t0e5t00rpfewved92pva205pev99rr2t9ps" timestamp="1376547485"&gt;116&lt;/key&gt;&lt;/foreign-keys&gt;&lt;ref-type name="Journal Article"&gt;17&lt;/ref-type&gt;&lt;contributors&gt;&lt;authors&gt;&lt;author&gt;Knight, Robert T.&lt;/author&gt;&lt;author&gt;Brailowsky, Simon&lt;/author&gt;&lt;author&gt;Scabini, Donatella&lt;/author&gt;&lt;author&gt;Simpson, Gregory V.&lt;/author&gt;&lt;/authors&gt;&lt;/contributors&gt;&lt;titles&gt;&lt;title&gt;Surface auditory evoked potentials in the unrestrained rat: component definition&lt;/title&gt;&lt;secondary-title&gt;Electroencephalography and clinical neurophysiology&lt;/secondary-title&gt;&lt;/titles&gt;&lt;periodical&gt;&lt;full-title&gt;Electroencephalography and clinical neurophysiology&lt;/full-title&gt;&lt;/periodical&gt;&lt;pages&gt;430-439&lt;/pages&gt;&lt;volume&gt;61&lt;/volume&gt;&lt;number&gt;5&lt;/number&gt;&lt;keywords&gt;&lt;keyword&gt;AEPs&lt;/keyword&gt;&lt;keyword&gt;vertex potentials&lt;/keyword&gt;&lt;keyword&gt;MAEPs&lt;/keyword&gt;&lt;keyword&gt;rat audiogram&lt;/keyword&gt;&lt;/keywords&gt;&lt;dates&gt;&lt;year&gt;1985&lt;/year&gt;&lt;/dates&gt;&lt;isbn&gt;0013-4694&lt;/isbn&gt;&lt;urls&gt;&lt;related-urls&gt;&lt;url&gt;http://www.sciencedirect.com/science/article/pii/0013469485910351&lt;/url&gt;&lt;url&gt;http://ac.els-cdn.com/0013469485910351/1-s2.0-0013469485910351-main.pdf?_tid=7874b75e-0572-11e3-ba1f-00000aab0f26&amp;amp;acdnat=1376547675_993bc122714c159d45152b6358e53cc3&lt;/url&gt;&lt;/related-urls&gt;&lt;/urls&gt;&lt;electronic-resource-num&gt;http://dx.doi.org/10.1016/0013-4694(85)91035-1&lt;/electronic-resource-num&gt;&lt;/record&gt;&lt;/Cite&gt;&lt;/EndNote&gt;</w:instrText>
      </w:r>
      <w:r w:rsidRPr="00A15D38">
        <w:rPr>
          <w:kern w:val="1"/>
          <w:szCs w:val="24"/>
        </w:rPr>
        <w:fldChar w:fldCharType="separate"/>
      </w:r>
      <w:r w:rsidR="00170B20">
        <w:rPr>
          <w:noProof/>
          <w:kern w:val="1"/>
          <w:szCs w:val="24"/>
        </w:rPr>
        <w:t>[2]</w:t>
      </w:r>
      <w:r w:rsidRPr="00A15D38">
        <w:rPr>
          <w:kern w:val="1"/>
          <w:szCs w:val="24"/>
        </w:rPr>
        <w:fldChar w:fldCharType="end"/>
      </w:r>
      <w:r w:rsidRPr="00A15D38">
        <w:rPr>
          <w:kern w:val="1"/>
          <w:szCs w:val="24"/>
        </w:rPr>
        <w:t>.</w:t>
      </w:r>
    </w:p>
    <w:p w14:paraId="10CCD03A" w14:textId="77777777" w:rsidR="0021647B" w:rsidRPr="003A2270" w:rsidRDefault="003214CA" w:rsidP="000A4F32">
      <w:pPr>
        <w:pStyle w:val="Heading3"/>
      </w:pPr>
      <w:r>
        <w:t>S</w:t>
      </w:r>
      <w:r w:rsidR="0021647B" w:rsidRPr="003A2270">
        <w:t>.</w:t>
      </w:r>
      <w:r>
        <w:t>2</w:t>
      </w:r>
      <w:r w:rsidR="0021647B" w:rsidRPr="003A2270">
        <w:t xml:space="preserve">.3 </w:t>
      </w:r>
      <w:r w:rsidR="0021647B" w:rsidRPr="000A4F32">
        <w:t>P50</w:t>
      </w:r>
      <w:r w:rsidR="0021647B">
        <w:t xml:space="preserve"> Response</w:t>
      </w:r>
    </w:p>
    <w:p w14:paraId="1C5CEEDB" w14:textId="5600EE57" w:rsidR="0021647B" w:rsidRDefault="0021647B" w:rsidP="0021647B">
      <w:pPr>
        <w:rPr>
          <w:kern w:val="1"/>
          <w:szCs w:val="24"/>
        </w:rPr>
      </w:pPr>
      <w:r w:rsidRPr="00A15D38">
        <w:rPr>
          <w:kern w:val="1"/>
          <w:szCs w:val="24"/>
        </w:rPr>
        <w:t xml:space="preserve">The P50 potential in humans is a measure of sensory gating in which paired clicks are presented. The first click is called the conditioning stimulus (C), and the second click the test (T) stimulus. The </w:t>
      </w:r>
      <w:r w:rsidRPr="00A15D38">
        <w:rPr>
          <w:kern w:val="1"/>
          <w:szCs w:val="24"/>
        </w:rPr>
        <w:lastRenderedPageBreak/>
        <w:t xml:space="preserve">difference between the T and C evoked waveforms is a measure of sensory gating as the response to T often decreases in size compared to C. The stimuli were presented as 0.1 ms long paired clicks separated by 500 ms (C500, T500) or 250 ms (C250, T250) with an inter-trial interval of 10s. The band-pass filter of 1-300Hz was used. A total of 60 sets of stimuli at 50 dB above threshold were averaged. </w:t>
      </w:r>
      <w:r w:rsidR="00570192">
        <w:rPr>
          <w:kern w:val="1"/>
          <w:szCs w:val="24"/>
        </w:rPr>
        <w:t xml:space="preserve">This testing is broadly based upon de Bruin et al.  </w:t>
      </w:r>
      <w:r w:rsidR="00570192">
        <w:rPr>
          <w:kern w:val="1"/>
          <w:szCs w:val="24"/>
        </w:rPr>
        <w:fldChar w:fldCharType="begin"/>
      </w:r>
      <w:r w:rsidR="00170B20">
        <w:rPr>
          <w:kern w:val="1"/>
          <w:szCs w:val="24"/>
        </w:rPr>
        <w:instrText xml:space="preserve"> ADDIN EN.CITE &lt;EndNote&gt;&lt;Cite ExcludeAuth="1"&gt;&lt;Author&gt;de Bruin&lt;/Author&gt;&lt;Year&gt;2001&lt;/Year&gt;&lt;RecNum&gt;34&lt;/RecNum&gt;&lt;DisplayText&gt;[3]&lt;/DisplayText&gt;&lt;record&gt;&lt;rec-number&gt;34&lt;/rec-number&gt;&lt;foreign-keys&gt;&lt;key app="EN" db-id="2t0e5t00rpfewved92pva205pev99rr2t9ps" timestamp="1342571523"&gt;34&lt;/key&gt;&lt;/foreign-keys&gt;&lt;ref-type name="Journal Article"&gt;17&lt;/ref-type&gt;&lt;contributors&gt;&lt;authors&gt;&lt;author&gt;de Bruin, N. M. W. J.&lt;/author&gt;&lt;author&gt;Ellenbroek, B. A.&lt;/author&gt;&lt;author&gt;van Schaijk, W. J.&lt;/author&gt;&lt;author&gt;Cools, A. R.&lt;/author&gt;&lt;author&gt;Coenen, A. M. L.&lt;/author&gt;&lt;author&gt;van Luijtelaar, E. L. J. M.&lt;/author&gt;&lt;/authors&gt;&lt;/contributors&gt;&lt;titles&gt;&lt;title&gt;Sensory gating of auditory evoked potentials in rats: effects of repetitive stimulation and the interstimulus interval&lt;/title&gt;&lt;secondary-title&gt;Biological Psychology&lt;/secondary-title&gt;&lt;/titles&gt;&lt;periodical&gt;&lt;full-title&gt;Biological Psychology&lt;/full-title&gt;&lt;/periodical&gt;&lt;pages&gt;195-213&lt;/pages&gt;&lt;volume&gt;55&lt;/volume&gt;&lt;number&gt;3&lt;/number&gt;&lt;keywords&gt;&lt;keyword&gt;Sensory gating&lt;/keyword&gt;&lt;keyword&gt;P50&lt;/keyword&gt;&lt;keyword&gt;Auditory evoked potentials (AEPs)&lt;/keyword&gt;&lt;keyword&gt;Interstimulus interval (ISI)&lt;/keyword&gt;&lt;keyword&gt;Repeated stimulation&lt;/keyword&gt;&lt;keyword&gt;Rats&lt;/keyword&gt;&lt;/keywords&gt;&lt;dates&gt;&lt;year&gt;2001&lt;/year&gt;&lt;/dates&gt;&lt;isbn&gt;0301-0511&lt;/isbn&gt;&lt;urls&gt;&lt;related-urls&gt;&lt;url&gt;http://www.sciencedirect.com/science/article/pii/S0301051100000843&lt;/url&gt;&lt;url&gt;http://ac.els-cdn.com/S0301051100000843/1-s2.0-S0301051100000843-main.pdf?_tid=12cb5d14926bf416da5b28a272d2708e&amp;amp;acdnat=1342571736_c1895d975fd3696a6f3a82e283ad3171&lt;/url&gt;&lt;/related-urls&gt;&lt;/urls&gt;&lt;electronic-resource-num&gt;10.1016/s0301-0511(00)00084-3&lt;/electronic-resource-num&gt;&lt;/record&gt;&lt;/Cite&gt;&lt;/EndNote&gt;</w:instrText>
      </w:r>
      <w:r w:rsidR="00570192">
        <w:rPr>
          <w:kern w:val="1"/>
          <w:szCs w:val="24"/>
        </w:rPr>
        <w:fldChar w:fldCharType="separate"/>
      </w:r>
      <w:r w:rsidR="00170B20">
        <w:rPr>
          <w:noProof/>
          <w:kern w:val="1"/>
          <w:szCs w:val="24"/>
        </w:rPr>
        <w:t>[3]</w:t>
      </w:r>
      <w:r w:rsidR="00570192">
        <w:rPr>
          <w:kern w:val="1"/>
          <w:szCs w:val="24"/>
        </w:rPr>
        <w:fldChar w:fldCharType="end"/>
      </w:r>
      <w:r w:rsidR="00570192">
        <w:rPr>
          <w:kern w:val="1"/>
          <w:szCs w:val="24"/>
        </w:rPr>
        <w:t>.</w:t>
      </w:r>
      <w:r w:rsidR="000F4222">
        <w:rPr>
          <w:kern w:val="1"/>
          <w:szCs w:val="24"/>
        </w:rPr>
        <w:t xml:space="preserve"> An example trace showing the individual peaks and quality of the waveform is shown in Figure S.</w:t>
      </w:r>
      <w:r w:rsidR="003631E2">
        <w:rPr>
          <w:kern w:val="1"/>
          <w:szCs w:val="24"/>
        </w:rPr>
        <w:t>3</w:t>
      </w:r>
      <w:r w:rsidR="00AF16E0">
        <w:rPr>
          <w:kern w:val="1"/>
          <w:szCs w:val="24"/>
        </w:rPr>
        <w:t xml:space="preserve"> and group averages in Figure S.</w:t>
      </w:r>
      <w:r w:rsidR="003631E2">
        <w:rPr>
          <w:kern w:val="1"/>
          <w:szCs w:val="24"/>
        </w:rPr>
        <w:t>4</w:t>
      </w:r>
      <w:r w:rsidR="000F4222">
        <w:rPr>
          <w:kern w:val="1"/>
          <w:szCs w:val="24"/>
        </w:rPr>
        <w:t>.</w:t>
      </w:r>
    </w:p>
    <w:p w14:paraId="3443FA5C" w14:textId="77777777" w:rsidR="00A51B26" w:rsidRDefault="00A51B26" w:rsidP="0021647B">
      <w:pPr>
        <w:rPr>
          <w:kern w:val="1"/>
          <w:szCs w:val="24"/>
        </w:rPr>
      </w:pPr>
      <w:r w:rsidRPr="00A15D38">
        <w:rPr>
          <w:szCs w:val="24"/>
        </w:rPr>
        <w:t>When calculating ratio</w:t>
      </w:r>
      <w:r>
        <w:rPr>
          <w:szCs w:val="24"/>
        </w:rPr>
        <w:t>s</w:t>
      </w:r>
      <w:r w:rsidRPr="00A15D38">
        <w:rPr>
          <w:szCs w:val="24"/>
        </w:rPr>
        <w:t xml:space="preserve">, if extreme outliers were present (&gt; 2.5 x SD from </w:t>
      </w:r>
      <w:r>
        <w:rPr>
          <w:szCs w:val="24"/>
        </w:rPr>
        <w:t>the</w:t>
      </w:r>
      <w:r w:rsidRPr="00A15D38">
        <w:rPr>
          <w:szCs w:val="24"/>
        </w:rPr>
        <w:t xml:space="preserve"> mean) the ratio was replaced by </w:t>
      </w:r>
      <w:r>
        <w:rPr>
          <w:szCs w:val="24"/>
        </w:rPr>
        <w:t>ratio calculated from the other recording side</w:t>
      </w:r>
      <w:r w:rsidRPr="00A15D38">
        <w:rPr>
          <w:szCs w:val="24"/>
        </w:rPr>
        <w:t>. If both side ratios were extreme outliers then neither were included in analysis.</w:t>
      </w:r>
    </w:p>
    <w:p w14:paraId="2EE87B1B" w14:textId="77777777" w:rsidR="00880B17" w:rsidRDefault="004D6427" w:rsidP="0021647B">
      <w:pPr>
        <w:rPr>
          <w:kern w:val="1"/>
          <w:szCs w:val="24"/>
        </w:rPr>
      </w:pPr>
      <w:r w:rsidRPr="003A2270">
        <w:rPr>
          <w:noProof/>
          <w:lang w:eastAsia="en-AU"/>
        </w:rPr>
        <w:drawing>
          <wp:inline distT="0" distB="0" distL="0" distR="0" wp14:anchorId="22304C8B" wp14:editId="31F53056">
            <wp:extent cx="5731510" cy="1983105"/>
            <wp:effectExtent l="0" t="0" r="2540" b="0"/>
            <wp:docPr id="53" name="Picture 1" descr="Example P5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P50.emf"/>
                    <pic:cNvPicPr/>
                  </pic:nvPicPr>
                  <pic:blipFill>
                    <a:blip r:embed="rId8" cstate="print"/>
                    <a:srcRect/>
                    <a:stretch>
                      <a:fillRect/>
                    </a:stretch>
                  </pic:blipFill>
                  <pic:spPr>
                    <a:xfrm>
                      <a:off x="0" y="0"/>
                      <a:ext cx="5731510" cy="1983105"/>
                    </a:xfrm>
                    <a:prstGeom prst="rect">
                      <a:avLst/>
                    </a:prstGeom>
                  </pic:spPr>
                </pic:pic>
              </a:graphicData>
            </a:graphic>
          </wp:inline>
        </w:drawing>
      </w:r>
    </w:p>
    <w:p w14:paraId="27C792ED" w14:textId="790E5586" w:rsidR="004D6427" w:rsidRDefault="004D6427" w:rsidP="004D6427">
      <w:r w:rsidRPr="00A0341C">
        <w:rPr>
          <w:rStyle w:val="FigureLegendBOLDChar"/>
        </w:rPr>
        <w:t xml:space="preserve">Fig </w:t>
      </w:r>
      <w:r w:rsidR="004F49F8" w:rsidRPr="00A0341C">
        <w:rPr>
          <w:rStyle w:val="FigureLegendBOLDChar"/>
        </w:rPr>
        <w:t>B</w:t>
      </w:r>
      <w:r w:rsidRPr="00A0341C">
        <w:rPr>
          <w:rStyle w:val="FigureLegendBOLDChar"/>
        </w:rPr>
        <w:t>. Example P50 response trace for the 500 ms ISI interval.</w:t>
      </w:r>
      <w:r w:rsidRPr="003A2270">
        <w:t xml:space="preserve"> Left panel shows the response with peak locations indicated. The right panel shows that shows an expanded view of the ABR waveform from the left panel. The conditioning response is shown with black lines, the test response gray lines</w:t>
      </w:r>
      <w:r>
        <w:t>.</w:t>
      </w:r>
    </w:p>
    <w:p w14:paraId="2E5C58F4" w14:textId="77777777" w:rsidR="00256AFC" w:rsidRDefault="00256AFC" w:rsidP="004D6427"/>
    <w:p w14:paraId="27CD4DBA" w14:textId="77777777" w:rsidR="00256AFC" w:rsidRPr="003A2270" w:rsidRDefault="00256AFC" w:rsidP="00256AFC">
      <w:pPr>
        <w:pStyle w:val="Figure"/>
        <w:rPr>
          <w:sz w:val="22"/>
        </w:rPr>
      </w:pPr>
      <w:r w:rsidRPr="003A2270">
        <w:rPr>
          <w:sz w:val="22"/>
        </w:rPr>
        <w:drawing>
          <wp:inline distT="0" distB="0" distL="0" distR="0" wp14:anchorId="264C23CB" wp14:editId="5205E056">
            <wp:extent cx="5731510" cy="3225800"/>
            <wp:effectExtent l="19050" t="0" r="2540" b="0"/>
            <wp:docPr id="54" name="Picture 18" descr="P50 Group Avera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 Group Averages.tif"/>
                    <pic:cNvPicPr/>
                  </pic:nvPicPr>
                  <pic:blipFill>
                    <a:blip r:embed="rId9" cstate="print"/>
                    <a:stretch>
                      <a:fillRect/>
                    </a:stretch>
                  </pic:blipFill>
                  <pic:spPr>
                    <a:xfrm>
                      <a:off x="0" y="0"/>
                      <a:ext cx="5731510" cy="3225800"/>
                    </a:xfrm>
                    <a:prstGeom prst="rect">
                      <a:avLst/>
                    </a:prstGeom>
                  </pic:spPr>
                </pic:pic>
              </a:graphicData>
            </a:graphic>
          </wp:inline>
        </w:drawing>
      </w:r>
    </w:p>
    <w:p w14:paraId="0A2B9E2F" w14:textId="13777E04" w:rsidR="00256AFC" w:rsidRPr="003A2270" w:rsidRDefault="00256AFC" w:rsidP="00256AFC">
      <w:pPr>
        <w:pStyle w:val="FigureLegend"/>
      </w:pPr>
      <w:bookmarkStart w:id="4" w:name="_Toc408380764"/>
      <w:bookmarkStart w:id="5" w:name="_Toc408487652"/>
      <w:bookmarkStart w:id="6" w:name="_Toc409012745"/>
      <w:bookmarkStart w:id="7" w:name="_Toc409015987"/>
      <w:bookmarkStart w:id="8" w:name="_Toc409082402"/>
      <w:r w:rsidRPr="00A0341C">
        <w:rPr>
          <w:rStyle w:val="FigureLegendBOLDChar"/>
        </w:rPr>
        <w:t xml:space="preserve">Figure </w:t>
      </w:r>
      <w:r w:rsidR="004F49F8" w:rsidRPr="00A0341C">
        <w:rPr>
          <w:rStyle w:val="FigureLegendBOLDChar"/>
        </w:rPr>
        <w:t>C</w:t>
      </w:r>
      <w:r w:rsidR="00170B20" w:rsidRPr="00A0341C">
        <w:rPr>
          <w:rStyle w:val="FigureLegendBOLDChar"/>
        </w:rPr>
        <w:t>.</w:t>
      </w:r>
      <w:r w:rsidRPr="00A0341C">
        <w:rPr>
          <w:rStyle w:val="FigureLegendBOLDChar"/>
        </w:rPr>
        <w:t xml:space="preserve"> Group averages of the P50 response (averaged over the left and right ACx)</w:t>
      </w:r>
      <w:r w:rsidRPr="004F49F8">
        <w:rPr>
          <w:b/>
        </w:rPr>
        <w:t>.</w:t>
      </w:r>
      <w:r w:rsidRPr="003A2270">
        <w:t xml:space="preserve"> Left panels show the response to C-T 500 ms interval, right panels C-T 250 ms interval.</w:t>
      </w:r>
      <w:bookmarkEnd w:id="4"/>
      <w:bookmarkEnd w:id="5"/>
      <w:bookmarkEnd w:id="6"/>
      <w:bookmarkEnd w:id="7"/>
      <w:bookmarkEnd w:id="8"/>
    </w:p>
    <w:p w14:paraId="46601ABC" w14:textId="77777777" w:rsidR="00256AFC" w:rsidRDefault="00256AFC" w:rsidP="004D6427"/>
    <w:p w14:paraId="6FEE77D5" w14:textId="77777777" w:rsidR="004D6427" w:rsidRDefault="004D6427" w:rsidP="004D6427">
      <w:pPr>
        <w:pStyle w:val="FigureLegend"/>
      </w:pPr>
    </w:p>
    <w:p w14:paraId="2A7828E8" w14:textId="77777777" w:rsidR="0021647B" w:rsidRPr="003A2270" w:rsidRDefault="003214CA" w:rsidP="00316CC7">
      <w:pPr>
        <w:pStyle w:val="Heading3"/>
      </w:pPr>
      <w:r>
        <w:t>S.</w:t>
      </w:r>
      <w:r w:rsidR="0021647B" w:rsidRPr="003A2270">
        <w:t>2.</w:t>
      </w:r>
      <w:r>
        <w:t>4</w:t>
      </w:r>
      <w:r w:rsidR="0021647B" w:rsidRPr="003A2270">
        <w:t xml:space="preserve"> Auditory Steady-State (ASSR)</w:t>
      </w:r>
    </w:p>
    <w:p w14:paraId="5EC60FF1" w14:textId="73B9FFAB" w:rsidR="0021647B" w:rsidRDefault="0021647B" w:rsidP="0021647B">
      <w:pPr>
        <w:rPr>
          <w:kern w:val="1"/>
          <w:szCs w:val="24"/>
        </w:rPr>
      </w:pPr>
      <w:r w:rsidRPr="00A15D38">
        <w:rPr>
          <w:kern w:val="1"/>
          <w:szCs w:val="24"/>
        </w:rPr>
        <w:t xml:space="preserve">ASSR is a method which </w:t>
      </w:r>
      <w:r>
        <w:rPr>
          <w:kern w:val="1"/>
          <w:szCs w:val="24"/>
        </w:rPr>
        <w:t xml:space="preserve">assesses </w:t>
      </w:r>
      <w:r w:rsidRPr="00A15D38">
        <w:rPr>
          <w:kern w:val="1"/>
          <w:szCs w:val="24"/>
        </w:rPr>
        <w:t>the brains ability to synchronise to stimulus presentation. The protocol was based upon</w:t>
      </w:r>
      <w:r>
        <w:rPr>
          <w:kern w:val="1"/>
          <w:szCs w:val="24"/>
        </w:rPr>
        <w:t xml:space="preserve"> methods described by Vohs and colleagues</w:t>
      </w:r>
      <w:r w:rsidRPr="00A15D38">
        <w:rPr>
          <w:kern w:val="1"/>
          <w:szCs w:val="24"/>
        </w:rPr>
        <w:t xml:space="preserve"> </w:t>
      </w:r>
      <w:r w:rsidRPr="00A15D38">
        <w:rPr>
          <w:kern w:val="1"/>
          <w:szCs w:val="24"/>
        </w:rPr>
        <w:fldChar w:fldCharType="begin"/>
      </w:r>
      <w:r w:rsidR="00170B20">
        <w:rPr>
          <w:kern w:val="1"/>
          <w:szCs w:val="24"/>
        </w:rPr>
        <w:instrText xml:space="preserve"> ADDIN EN.CITE &lt;EndNote&gt;&lt;Cite&gt;&lt;Author&gt;Vohs&lt;/Author&gt;&lt;Year&gt;2010&lt;/Year&gt;&lt;RecNum&gt;22&lt;/RecNum&gt;&lt;DisplayText&gt;[4]&lt;/DisplayText&gt;&lt;record&gt;&lt;rec-number&gt;22&lt;/rec-number&gt;&lt;foreign-keys&gt;&lt;key app="EN" db-id="2t0e5t00rpfewved92pva205pev99rr2t9ps" timestamp="1341370228"&gt;22&lt;/key&gt;&lt;/foreign-keys&gt;&lt;ref-type name="Journal Article"&gt;17&lt;/ref-type&gt;&lt;contributors&gt;&lt;authors&gt;&lt;author&gt;Vohs,Jenifer L.&lt;/author&gt;&lt;author&gt;Andrew Chambers,R.&lt;/author&gt;&lt;author&gt;Krishnan,Giri P.&lt;/author&gt;&lt;author&gt;O&amp;apos;Donnell,Brian F.&lt;/author&gt;&lt;author&gt;Berg,Sarah&lt;/author&gt;&lt;author&gt;Morzorati,Sandra L.&lt;/author&gt;&lt;/authors&gt;&lt;/contributors&gt;&lt;titles&gt;&lt;title&gt;GABAergic modulation of the 40 Hz auditory steady-state response in a rat model of schizophrenia&lt;/title&gt;&lt;secondary-title&gt;The International Journal of Neuropsychopharmacology&lt;/secondary-title&gt;&lt;/titles&gt;&lt;periodical&gt;&lt;full-title&gt;The International Journal of Neuropsychopharmacology&lt;/full-title&gt;&lt;/periodical&gt;&lt;pages&gt;487-497&lt;/pages&gt;&lt;volume&gt;13&lt;/volume&gt;&lt;number&gt;04&lt;/number&gt;&lt;dates&gt;&lt;year&gt;2010&lt;/year&gt;&lt;/dates&gt;&lt;isbn&gt;1461-1457&lt;/isbn&gt;&lt;urls&gt;&lt;related-urls&gt;&lt;url&gt;http://dx.doi.org/10.1017/S1461145709990307&lt;/url&gt;&lt;url&gt;http://journals.cambridge.org/download.php?file=%2FPNP%2FPNP13_04%2FS1461145709990307a.pdf&amp;amp;code=33587a1699bf10fc454f2789ffa4ab4d&lt;/url&gt;&lt;/related-urls&gt;&lt;/urls&gt;&lt;electronic-resource-num&gt;doi:10.1017/S1461145709990307&lt;/electronic-resource-num&gt;&lt;access-date&gt;2010&lt;/access-date&gt;&lt;/record&gt;&lt;/Cite&gt;&lt;/EndNote&gt;</w:instrText>
      </w:r>
      <w:r w:rsidRPr="00A15D38">
        <w:rPr>
          <w:kern w:val="1"/>
          <w:szCs w:val="24"/>
        </w:rPr>
        <w:fldChar w:fldCharType="separate"/>
      </w:r>
      <w:r w:rsidR="00170B20">
        <w:rPr>
          <w:noProof/>
          <w:kern w:val="1"/>
          <w:szCs w:val="24"/>
        </w:rPr>
        <w:t>[4]</w:t>
      </w:r>
      <w:r w:rsidRPr="00A15D38">
        <w:rPr>
          <w:kern w:val="1"/>
          <w:szCs w:val="24"/>
        </w:rPr>
        <w:fldChar w:fldCharType="end"/>
      </w:r>
      <w:r w:rsidRPr="00A15D38">
        <w:rPr>
          <w:kern w:val="1"/>
          <w:szCs w:val="24"/>
        </w:rPr>
        <w:t xml:space="preserve">. Monophasic </w:t>
      </w:r>
      <w:r>
        <w:rPr>
          <w:kern w:val="1"/>
          <w:szCs w:val="24"/>
        </w:rPr>
        <w:t xml:space="preserve">0.1 ms </w:t>
      </w:r>
      <w:r w:rsidRPr="00A15D38">
        <w:rPr>
          <w:kern w:val="1"/>
          <w:szCs w:val="24"/>
        </w:rPr>
        <w:t>click square waveforms of were presented at 40/s or 20/s for 50</w:t>
      </w:r>
      <w:r>
        <w:rPr>
          <w:kern w:val="1"/>
          <w:szCs w:val="24"/>
        </w:rPr>
        <w:t>0 ms long trains with a 1 s ISI and 400 trials for each recording</w:t>
      </w:r>
      <w:r w:rsidRPr="00A15D38">
        <w:rPr>
          <w:kern w:val="1"/>
          <w:szCs w:val="24"/>
        </w:rPr>
        <w:t>. Single trial EEG data were recorded with a stimulus epoch length of 899 ms, with 160 ms pre-stimulus recording for baseline. The data were then transformed into the frequency and phase domain by discrete fast Fourier transforms (DFFT) using a Hanning-tapered 128 ms sliding window, with 10 ms steps. The frequencies analysed were 10-80 Hz, with a 1 Hz resolution. All spectrograms were corrected by dividing the values by the pre-stimulus baseline, applying a 20*log</w:t>
      </w:r>
      <w:r w:rsidRPr="00A15D38">
        <w:rPr>
          <w:kern w:val="1"/>
          <w:szCs w:val="24"/>
          <w:vertAlign w:val="subscript"/>
        </w:rPr>
        <w:t>10</w:t>
      </w:r>
      <w:r w:rsidRPr="00A15D38">
        <w:rPr>
          <w:kern w:val="1"/>
          <w:szCs w:val="24"/>
        </w:rPr>
        <w:t xml:space="preserve"> transform. Mean trial power (MTP), evoked trial power (ETP) and phase-locking factor (PLF) were assessed for each condition </w:t>
      </w:r>
      <w:r w:rsidRPr="00A15D38">
        <w:rPr>
          <w:kern w:val="1"/>
          <w:szCs w:val="24"/>
        </w:rPr>
        <w:fldChar w:fldCharType="begin"/>
      </w:r>
      <w:r w:rsidR="00170B20">
        <w:rPr>
          <w:kern w:val="1"/>
          <w:szCs w:val="24"/>
        </w:rPr>
        <w:instrText xml:space="preserve"> ADDIN EN.CITE &lt;EndNote&gt;&lt;Cite&gt;&lt;Author&gt;Roach&lt;/Author&gt;&lt;Year&gt;2008&lt;/Year&gt;&lt;RecNum&gt;123&lt;/RecNum&gt;&lt;DisplayText&gt;[5]&lt;/DisplayText&gt;&lt;record&gt;&lt;rec-number&gt;123&lt;/rec-number&gt;&lt;foreign-keys&gt;&lt;key app="EN" db-id="2t0e5t00rpfewved92pva205pev99rr2t9ps" timestamp="1382507707"&gt;123&lt;/key&gt;&lt;/foreign-keys&gt;&lt;ref-type name="Journal Article"&gt;17&lt;/ref-type&gt;&lt;contributors&gt;&lt;authors&gt;&lt;author&gt;Roach, Brian J.&lt;/author&gt;&lt;author&gt;Mathalon, Daniel H.&lt;/author&gt;&lt;/authors&gt;&lt;/contributors&gt;&lt;titles&gt;&lt;title&gt;Event-Related EEG Time-Frequency Analysis: An Overview of Measures and An Analysis of Early Gamma Band Phase Locking in Schizophrenia&lt;/title&gt;&lt;secondary-title&gt;Schizophrenia Bulletin&lt;/secondary-title&gt;&lt;/titles&gt;&lt;periodical&gt;&lt;full-title&gt;Schizophrenia Bulletin&lt;/full-title&gt;&lt;/periodical&gt;&lt;pages&gt;907-926&lt;/pages&gt;&lt;volume&gt;34&lt;/volume&gt;&lt;number&gt;5&lt;/number&gt;&lt;dates&gt;&lt;year&gt;2008&lt;/year&gt;&lt;pub-dates&gt;&lt;date&gt;September 1, 2008&lt;/date&gt;&lt;/pub-dates&gt;&lt;/dates&gt;&lt;urls&gt;&lt;related-urls&gt;&lt;url&gt;http://schizophreniabulletin.oxfordjournals.org/content/34/5/907.abstract&lt;/url&gt;&lt;url&gt;http://schizophreniabulletin.oxfordjournals.org/content/34/5/907.full.pdf&lt;/url&gt;&lt;/related-urls&gt;&lt;/urls&gt;&lt;electronic-resource-num&gt;10.1093/schbul/sbn093&lt;/electronic-resource-num&gt;&lt;/record&gt;&lt;/Cite&gt;&lt;/EndNote&gt;</w:instrText>
      </w:r>
      <w:r w:rsidRPr="00A15D38">
        <w:rPr>
          <w:kern w:val="1"/>
          <w:szCs w:val="24"/>
        </w:rPr>
        <w:fldChar w:fldCharType="separate"/>
      </w:r>
      <w:r w:rsidR="00170B20">
        <w:rPr>
          <w:noProof/>
          <w:kern w:val="1"/>
          <w:szCs w:val="24"/>
        </w:rPr>
        <w:t>[5]</w:t>
      </w:r>
      <w:r w:rsidRPr="00A15D38">
        <w:rPr>
          <w:kern w:val="1"/>
          <w:szCs w:val="24"/>
        </w:rPr>
        <w:fldChar w:fldCharType="end"/>
      </w:r>
      <w:r w:rsidRPr="00A15D38">
        <w:rPr>
          <w:kern w:val="1"/>
          <w:szCs w:val="24"/>
        </w:rPr>
        <w:t xml:space="preserve"> for both left and right sides. The data were quantified by averaging the response from 0-100, 100-200, 200-300, 300-400 and 400-500 ms at the frequency of stimulation.</w:t>
      </w:r>
      <w:r w:rsidR="00165DDD">
        <w:rPr>
          <w:kern w:val="1"/>
          <w:szCs w:val="24"/>
        </w:rPr>
        <w:t xml:space="preserve"> Group-averaged heat maps of this data are shown in Figure S.5.</w:t>
      </w:r>
    </w:p>
    <w:p w14:paraId="6F5E6B36" w14:textId="77777777" w:rsidR="00CD2B9E" w:rsidRDefault="00CD2B9E" w:rsidP="0021647B">
      <w:pPr>
        <w:rPr>
          <w:kern w:val="1"/>
          <w:szCs w:val="24"/>
        </w:rPr>
      </w:pPr>
    </w:p>
    <w:p w14:paraId="1443EE95" w14:textId="77777777" w:rsidR="00CD2B9E" w:rsidRDefault="00CD2B9E" w:rsidP="0021647B">
      <w:pPr>
        <w:rPr>
          <w:kern w:val="1"/>
          <w:szCs w:val="24"/>
        </w:rPr>
      </w:pPr>
    </w:p>
    <w:p w14:paraId="0D247644" w14:textId="77777777" w:rsidR="00CD2B9E" w:rsidRDefault="00CD2B9E">
      <w:pPr>
        <w:rPr>
          <w:kern w:val="1"/>
          <w:szCs w:val="24"/>
        </w:rPr>
      </w:pPr>
      <w:r>
        <w:rPr>
          <w:kern w:val="1"/>
          <w:szCs w:val="24"/>
        </w:rPr>
        <w:br w:type="page"/>
      </w:r>
    </w:p>
    <w:p w14:paraId="4AD9C1A7" w14:textId="77777777" w:rsidR="00E62B6C" w:rsidRDefault="00E62B6C">
      <w:pPr>
        <w:rPr>
          <w:sz w:val="160"/>
          <w:szCs w:val="160"/>
        </w:rPr>
        <w:sectPr w:rsidR="00E62B6C">
          <w:pgSz w:w="11906" w:h="16838"/>
          <w:pgMar w:top="1440" w:right="1440" w:bottom="1440" w:left="1440" w:header="708" w:footer="708" w:gutter="0"/>
          <w:cols w:space="708"/>
          <w:docGrid w:linePitch="360"/>
        </w:sectPr>
      </w:pPr>
    </w:p>
    <w:p w14:paraId="1EE7114A" w14:textId="77777777" w:rsidR="00AA7DDE" w:rsidRPr="00AA7DDE" w:rsidRDefault="00E62B6C">
      <w:pPr>
        <w:rPr>
          <w:rFonts w:ascii="Times New Roman" w:eastAsiaTheme="majorEastAsia" w:hAnsi="Times New Roman" w:cstheme="majorBidi"/>
          <w:bCs/>
          <w:i/>
          <w:color w:val="000000" w:themeColor="text1"/>
          <w:kern w:val="1"/>
          <w:sz w:val="160"/>
          <w:szCs w:val="160"/>
        </w:rPr>
      </w:pPr>
      <w:r w:rsidRPr="00E62B6C">
        <w:rPr>
          <w:noProof/>
          <w:sz w:val="160"/>
          <w:szCs w:val="160"/>
          <w:lang w:eastAsia="en-AU"/>
        </w:rPr>
        <w:lastRenderedPageBreak/>
        <w:drawing>
          <wp:anchor distT="0" distB="0" distL="114300" distR="114300" simplePos="0" relativeHeight="251659264" behindDoc="0" locked="0" layoutInCell="1" allowOverlap="1" wp14:anchorId="467C28EB" wp14:editId="243AABDF">
            <wp:simplePos x="0" y="0"/>
            <wp:positionH relativeFrom="column">
              <wp:posOffset>4114800</wp:posOffset>
            </wp:positionH>
            <wp:positionV relativeFrom="paragraph">
              <wp:posOffset>20955</wp:posOffset>
            </wp:positionV>
            <wp:extent cx="4031615" cy="2934335"/>
            <wp:effectExtent l="19050" t="0" r="6985" b="0"/>
            <wp:wrapNone/>
            <wp:docPr id="56" name="Picture 29" descr="PLF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F (2).TIF"/>
                    <pic:cNvPicPr/>
                  </pic:nvPicPr>
                  <pic:blipFill>
                    <a:blip r:embed="rId10" cstate="print"/>
                    <a:srcRect/>
                    <a:stretch>
                      <a:fillRect/>
                    </a:stretch>
                  </pic:blipFill>
                  <pic:spPr>
                    <a:xfrm>
                      <a:off x="0" y="0"/>
                      <a:ext cx="4031615" cy="2934335"/>
                    </a:xfrm>
                    <a:prstGeom prst="rect">
                      <a:avLst/>
                    </a:prstGeom>
                  </pic:spPr>
                </pic:pic>
              </a:graphicData>
            </a:graphic>
          </wp:anchor>
        </w:drawing>
      </w:r>
      <w:r w:rsidRPr="00E62B6C">
        <w:rPr>
          <w:noProof/>
          <w:sz w:val="160"/>
          <w:szCs w:val="160"/>
          <w:lang w:eastAsia="en-AU"/>
        </w:rPr>
        <w:drawing>
          <wp:anchor distT="0" distB="0" distL="114300" distR="114300" simplePos="0" relativeHeight="251660288" behindDoc="0" locked="0" layoutInCell="1" allowOverlap="1" wp14:anchorId="79E03E15" wp14:editId="2ABAB50D">
            <wp:simplePos x="0" y="0"/>
            <wp:positionH relativeFrom="column">
              <wp:posOffset>0</wp:posOffset>
            </wp:positionH>
            <wp:positionV relativeFrom="paragraph">
              <wp:posOffset>0</wp:posOffset>
            </wp:positionV>
            <wp:extent cx="3946895" cy="2934586"/>
            <wp:effectExtent l="19050" t="0" r="0" b="0"/>
            <wp:wrapNone/>
            <wp:docPr id="58" name="Picture 28" descr="ETP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P (2).TIF"/>
                    <pic:cNvPicPr/>
                  </pic:nvPicPr>
                  <pic:blipFill>
                    <a:blip r:embed="rId11" cstate="print"/>
                    <a:srcRect/>
                    <a:stretch>
                      <a:fillRect/>
                    </a:stretch>
                  </pic:blipFill>
                  <pic:spPr>
                    <a:xfrm>
                      <a:off x="0" y="0"/>
                      <a:ext cx="3946895" cy="2934586"/>
                    </a:xfrm>
                    <a:prstGeom prst="rect">
                      <a:avLst/>
                    </a:prstGeom>
                  </pic:spPr>
                </pic:pic>
              </a:graphicData>
            </a:graphic>
          </wp:anchor>
        </w:drawing>
      </w:r>
      <w:r w:rsidRPr="00E62B6C">
        <w:rPr>
          <w:noProof/>
          <w:sz w:val="160"/>
          <w:szCs w:val="160"/>
          <w:lang w:eastAsia="en-AU"/>
        </w:rPr>
        <w:drawing>
          <wp:anchor distT="0" distB="0" distL="114300" distR="114300" simplePos="0" relativeHeight="251661312" behindDoc="0" locked="0" layoutInCell="1" allowOverlap="1" wp14:anchorId="57C06C4B" wp14:editId="0C075869">
            <wp:simplePos x="0" y="0"/>
            <wp:positionH relativeFrom="column">
              <wp:posOffset>74930</wp:posOffset>
            </wp:positionH>
            <wp:positionV relativeFrom="paragraph">
              <wp:posOffset>3029585</wp:posOffset>
            </wp:positionV>
            <wp:extent cx="3914775" cy="2987675"/>
            <wp:effectExtent l="19050" t="0" r="9525" b="0"/>
            <wp:wrapNone/>
            <wp:docPr id="57" name="Picture 27" descr="MTP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2).tif"/>
                    <pic:cNvPicPr/>
                  </pic:nvPicPr>
                  <pic:blipFill>
                    <a:blip r:embed="rId12" cstate="print"/>
                    <a:srcRect/>
                    <a:stretch>
                      <a:fillRect/>
                    </a:stretch>
                  </pic:blipFill>
                  <pic:spPr>
                    <a:xfrm>
                      <a:off x="0" y="0"/>
                      <a:ext cx="3914775" cy="2987675"/>
                    </a:xfrm>
                    <a:prstGeom prst="rect">
                      <a:avLst/>
                    </a:prstGeom>
                  </pic:spPr>
                </pic:pic>
              </a:graphicData>
            </a:graphic>
          </wp:anchor>
        </w:drawing>
      </w:r>
      <w:r w:rsidRPr="00E62B6C">
        <w:rPr>
          <w:noProof/>
          <w:sz w:val="160"/>
          <w:szCs w:val="160"/>
          <w:lang w:eastAsia="en-AU"/>
        </w:rPr>
        <mc:AlternateContent>
          <mc:Choice Requires="wps">
            <w:drawing>
              <wp:anchor distT="0" distB="0" distL="114300" distR="114300" simplePos="0" relativeHeight="251662336" behindDoc="0" locked="0" layoutInCell="1" allowOverlap="1" wp14:anchorId="10D75B7C" wp14:editId="30DD6563">
                <wp:simplePos x="0" y="0"/>
                <wp:positionH relativeFrom="column">
                  <wp:posOffset>4355465</wp:posOffset>
                </wp:positionH>
                <wp:positionV relativeFrom="paragraph">
                  <wp:posOffset>3168650</wp:posOffset>
                </wp:positionV>
                <wp:extent cx="3669665" cy="1409700"/>
                <wp:effectExtent l="0" t="0" r="6985"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2C2AD" w14:textId="5C543F16" w:rsidR="00466FB5" w:rsidRPr="0066221D" w:rsidRDefault="00466FB5" w:rsidP="00A0341C">
                            <w:pPr>
                              <w:pStyle w:val="FigureLegend"/>
                            </w:pPr>
                            <w:bookmarkStart w:id="9" w:name="_Toc408380766"/>
                            <w:bookmarkStart w:id="10" w:name="_Toc408487654"/>
                            <w:bookmarkStart w:id="11" w:name="_Toc409012665"/>
                            <w:bookmarkStart w:id="12" w:name="_Toc409012747"/>
                            <w:bookmarkStart w:id="13" w:name="_Toc409015989"/>
                            <w:bookmarkStart w:id="14" w:name="_Toc409082404"/>
                            <w:r w:rsidRPr="00A0341C">
                              <w:rPr>
                                <w:rStyle w:val="FigureLegendBOLDChar"/>
                              </w:rPr>
                              <w:t>Fig</w:t>
                            </w:r>
                            <w:r w:rsidR="00C562FB">
                              <w:rPr>
                                <w:rStyle w:val="FigureLegendBOLDChar"/>
                              </w:rPr>
                              <w:t xml:space="preserve"> </w:t>
                            </w:r>
                            <w:bookmarkStart w:id="15" w:name="_GoBack"/>
                            <w:bookmarkEnd w:id="15"/>
                            <w:r w:rsidR="004F49F8" w:rsidRPr="00A0341C">
                              <w:rPr>
                                <w:rStyle w:val="FigureLegendBOLDChar"/>
                              </w:rPr>
                              <w:t>D</w:t>
                            </w:r>
                            <w:r w:rsidR="00170B20" w:rsidRPr="00A0341C">
                              <w:rPr>
                                <w:rStyle w:val="FigureLegendBOLDChar"/>
                              </w:rPr>
                              <w:t>.</w:t>
                            </w:r>
                            <w:r w:rsidRPr="00A0341C">
                              <w:rPr>
                                <w:rStyle w:val="FigureLegendBOLDChar"/>
                              </w:rPr>
                              <w:t xml:space="preserve"> Group averages of auditory steady state responses</w:t>
                            </w:r>
                            <w:r w:rsidR="004F49F8" w:rsidRPr="00A0341C">
                              <w:rPr>
                                <w:rStyle w:val="FigureLegendBOLDChar"/>
                              </w:rPr>
                              <w:t>.</w:t>
                            </w:r>
                            <w:r w:rsidR="004F49F8">
                              <w:t xml:space="preserve"> A</w:t>
                            </w:r>
                            <w:r w:rsidRPr="0066221D">
                              <w:t>uditory click trains presented at 40 and 20 Hz, recorded from the left auditory cortex. A) Evoked trial power (ETP), B) phase locking factor (PLF), and C) the mean trial power (MTP).</w:t>
                            </w:r>
                            <w:bookmarkEnd w:id="9"/>
                            <w:bookmarkEnd w:id="10"/>
                            <w:bookmarkEnd w:id="11"/>
                            <w:bookmarkEnd w:id="12"/>
                            <w:bookmarkEnd w:id="13"/>
                            <w:bookmarkEnd w:id="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75B7C" id="_x0000_t202" coordsize="21600,21600" o:spt="202" path="m,l,21600r21600,l21600,xe">
                <v:stroke joinstyle="miter"/>
                <v:path gradientshapeok="t" o:connecttype="rect"/>
              </v:shapetype>
              <v:shape id="Text Box 3" o:spid="_x0000_s1026" type="#_x0000_t202" style="position:absolute;margin-left:342.95pt;margin-top:249.5pt;width:288.9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xPhAIAABE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uOi&#10;wEiRDjh64INH13pA56E8vXEVeN0b8PMDbAPNMVVn7jT94pDSNy1RG35lre5bThiEl4WTycnREccF&#10;kHX/XjO4hmy9jkBDY7tQO6gGAnSg6fFITQiFwuZ5UZRFMcOIgi3L0/IijeQlpDocN9b5t1x3KExq&#10;bIH7CE92d86HcEh1cAm3OS0FWwkp48Ju1jfSoh0BnaziFzN44SZVcFY6HBsRxx2IEu4IthBv5P2p&#10;zKZ5ej0tJ6tifjHJV/lsAkHPJ2lWXpdFmpf57ep7CDDLq1YwxtWdUPygwSz/O4733TCqJ6oQ9TUu&#10;Z9PZyNEfk0zj97skO+GhJaXoajw/OpEqMPtGMUibVJ4IOc6Tn8OPVYYaHP6xKlEHgfpRBH5YD4AS&#10;xLHW7BEUYTXwBbTDOwKTVttvGPXQkzV2X7fEcozkOwWqKrM8D00cF/nsYgoLe2pZn1qIogBVY4/R&#10;OL3xY+NvjRWbFm4adaz0FSixEVEjz1Ht9Qt9F5PZvxGhsU/X0ev5JVv+AAAA//8DAFBLAwQUAAYA&#10;CAAAACEAXj/lO+AAAAAMAQAADwAAAGRycy9kb3ducmV2LnhtbEyP0U6DQBBF3038h82Y+GLsUmyh&#10;IEujJhpfW/sBA7sFIjtL2G2hf+/0yT5O5ubec4rtbHtxNqPvHClYLiIQhmqnO2oUHH4+nzcgfEDS&#10;2DsyCi7Gw7a8vysw126inTnvQyO4hHyOCtoQhlxKX7fGol+4wRD/jm60GPgcG6lHnLjc9jKOokRa&#10;7IgXWhzMR2vq3/3JKjh+T0/rbKq+wiHdrZJ37NLKXZR6fJjfXkEEM4f/MFzxGR1KZqrcibQXvYJk&#10;s844qmCVZSx1TcTJC9tUCtJ4GYEsC3krUf4BAAD//wMAUEsBAi0AFAAGAAgAAAAhALaDOJL+AAAA&#10;4QEAABMAAAAAAAAAAAAAAAAAAAAAAFtDb250ZW50X1R5cGVzXS54bWxQSwECLQAUAAYACAAAACEA&#10;OP0h/9YAAACUAQAACwAAAAAAAAAAAAAAAAAvAQAAX3JlbHMvLnJlbHNQSwECLQAUAAYACAAAACEA&#10;8GCsT4QCAAARBQAADgAAAAAAAAAAAAAAAAAuAgAAZHJzL2Uyb0RvYy54bWxQSwECLQAUAAYACAAA&#10;ACEAXj/lO+AAAAAMAQAADwAAAAAAAAAAAAAAAADeBAAAZHJzL2Rvd25yZXYueG1sUEsFBgAAAAAE&#10;AAQA8wAAAOsFAAAAAA==&#10;" stroked="f">
                <v:textbox>
                  <w:txbxContent>
                    <w:p w14:paraId="68B2C2AD" w14:textId="5C543F16" w:rsidR="00466FB5" w:rsidRPr="0066221D" w:rsidRDefault="00466FB5" w:rsidP="00A0341C">
                      <w:pPr>
                        <w:pStyle w:val="FigureLegend"/>
                      </w:pPr>
                      <w:bookmarkStart w:id="16" w:name="_Toc408380766"/>
                      <w:bookmarkStart w:id="17" w:name="_Toc408487654"/>
                      <w:bookmarkStart w:id="18" w:name="_Toc409012665"/>
                      <w:bookmarkStart w:id="19" w:name="_Toc409012747"/>
                      <w:bookmarkStart w:id="20" w:name="_Toc409015989"/>
                      <w:bookmarkStart w:id="21" w:name="_Toc409082404"/>
                      <w:r w:rsidRPr="00A0341C">
                        <w:rPr>
                          <w:rStyle w:val="FigureLegendBOLDChar"/>
                        </w:rPr>
                        <w:t>Fig</w:t>
                      </w:r>
                      <w:r w:rsidR="00C562FB">
                        <w:rPr>
                          <w:rStyle w:val="FigureLegendBOLDChar"/>
                        </w:rPr>
                        <w:t xml:space="preserve"> </w:t>
                      </w:r>
                      <w:bookmarkStart w:id="22" w:name="_GoBack"/>
                      <w:bookmarkEnd w:id="22"/>
                      <w:r w:rsidR="004F49F8" w:rsidRPr="00A0341C">
                        <w:rPr>
                          <w:rStyle w:val="FigureLegendBOLDChar"/>
                        </w:rPr>
                        <w:t>D</w:t>
                      </w:r>
                      <w:r w:rsidR="00170B20" w:rsidRPr="00A0341C">
                        <w:rPr>
                          <w:rStyle w:val="FigureLegendBOLDChar"/>
                        </w:rPr>
                        <w:t>.</w:t>
                      </w:r>
                      <w:r w:rsidRPr="00A0341C">
                        <w:rPr>
                          <w:rStyle w:val="FigureLegendBOLDChar"/>
                        </w:rPr>
                        <w:t xml:space="preserve"> Group averages of auditory steady state responses</w:t>
                      </w:r>
                      <w:r w:rsidR="004F49F8" w:rsidRPr="00A0341C">
                        <w:rPr>
                          <w:rStyle w:val="FigureLegendBOLDChar"/>
                        </w:rPr>
                        <w:t>.</w:t>
                      </w:r>
                      <w:r w:rsidR="004F49F8">
                        <w:t xml:space="preserve"> A</w:t>
                      </w:r>
                      <w:r w:rsidRPr="0066221D">
                        <w:t>uditory click trains presented at 40 and 20 Hz, recorded from the left auditory cortex. A) Evoked trial power (ETP), B) phase locking factor (PLF), and C) the mean trial power (MTP).</w:t>
                      </w:r>
                      <w:bookmarkEnd w:id="16"/>
                      <w:bookmarkEnd w:id="17"/>
                      <w:bookmarkEnd w:id="18"/>
                      <w:bookmarkEnd w:id="19"/>
                      <w:bookmarkEnd w:id="20"/>
                      <w:bookmarkEnd w:id="21"/>
                    </w:p>
                  </w:txbxContent>
                </v:textbox>
              </v:shape>
            </w:pict>
          </mc:Fallback>
        </mc:AlternateContent>
      </w:r>
      <w:r w:rsidR="00AA7DDE" w:rsidRPr="00AA7DDE">
        <w:rPr>
          <w:sz w:val="160"/>
          <w:szCs w:val="160"/>
        </w:rPr>
        <w:br w:type="page"/>
      </w:r>
    </w:p>
    <w:p w14:paraId="218F13C2" w14:textId="77777777" w:rsidR="00E62B6C" w:rsidRDefault="00E62B6C" w:rsidP="000A4F32">
      <w:pPr>
        <w:pStyle w:val="Heading3"/>
        <w:sectPr w:rsidR="00E62B6C" w:rsidSect="00E62B6C">
          <w:pgSz w:w="16838" w:h="11906" w:orient="landscape"/>
          <w:pgMar w:top="1440" w:right="1440" w:bottom="1440" w:left="1440" w:header="709" w:footer="709" w:gutter="0"/>
          <w:cols w:space="708"/>
          <w:docGrid w:linePitch="360"/>
        </w:sectPr>
      </w:pPr>
    </w:p>
    <w:p w14:paraId="08F5C515" w14:textId="77777777" w:rsidR="0021647B" w:rsidRPr="00A743FE" w:rsidRDefault="004548D0" w:rsidP="000A4F32">
      <w:pPr>
        <w:pStyle w:val="Heading3"/>
      </w:pPr>
      <w:r>
        <w:lastRenderedPageBreak/>
        <w:t>S</w:t>
      </w:r>
      <w:r w:rsidR="0021647B" w:rsidRPr="00A743FE">
        <w:t>.</w:t>
      </w:r>
      <w:r>
        <w:t>2</w:t>
      </w:r>
      <w:r w:rsidR="0021647B" w:rsidRPr="00A743FE">
        <w:t>.</w:t>
      </w:r>
      <w:r w:rsidR="00AA7DDE">
        <w:t>5</w:t>
      </w:r>
      <w:r w:rsidR="0021647B" w:rsidRPr="00A743FE">
        <w:t xml:space="preserve"> EEG and ECG </w:t>
      </w:r>
    </w:p>
    <w:p w14:paraId="579674AB" w14:textId="462038B5" w:rsidR="0021647B" w:rsidRPr="00A15D38" w:rsidRDefault="0021647B" w:rsidP="0021647B">
      <w:pPr>
        <w:rPr>
          <w:kern w:val="1"/>
          <w:szCs w:val="24"/>
        </w:rPr>
      </w:pPr>
      <w:r w:rsidRPr="00A15D38">
        <w:rPr>
          <w:kern w:val="1"/>
          <w:szCs w:val="24"/>
        </w:rPr>
        <w:t>Following completion of AEP protocols, 10 min of raw EEG and ECG data were obtained, sampled at 10000 samples/s, with 0.1-1000Hz band pass filtering, and down-sampled to 500 samples/s offline, and filtered with a 4</w:t>
      </w:r>
      <w:r w:rsidRPr="00A15D38">
        <w:rPr>
          <w:kern w:val="1"/>
          <w:szCs w:val="24"/>
          <w:vertAlign w:val="superscript"/>
        </w:rPr>
        <w:t>th</w:t>
      </w:r>
      <w:r w:rsidRPr="00A15D38">
        <w:rPr>
          <w:kern w:val="1"/>
          <w:szCs w:val="24"/>
        </w:rPr>
        <w:t xml:space="preserve"> order Butterworth band pass filter 1-50Hz. EEG data were analysed using methods based upon</w:t>
      </w:r>
      <w:r>
        <w:rPr>
          <w:kern w:val="1"/>
          <w:szCs w:val="24"/>
        </w:rPr>
        <w:t xml:space="preserve"> Sabeti and colleagues</w:t>
      </w:r>
      <w:r w:rsidRPr="00A15D38">
        <w:rPr>
          <w:kern w:val="1"/>
          <w:szCs w:val="24"/>
        </w:rPr>
        <w:t xml:space="preserve"> </w:t>
      </w:r>
      <w:r w:rsidRPr="00A15D38">
        <w:rPr>
          <w:kern w:val="1"/>
          <w:szCs w:val="24"/>
        </w:rPr>
        <w:fldChar w:fldCharType="begin"/>
      </w:r>
      <w:r w:rsidR="00170B20">
        <w:rPr>
          <w:kern w:val="1"/>
          <w:szCs w:val="24"/>
        </w:rPr>
        <w:instrText xml:space="preserve"> ADDIN EN.CITE &lt;EndNote&gt;&lt;Cite&gt;&lt;Author&gt;Sabeti&lt;/Author&gt;&lt;Year&gt;2009&lt;/Year&gt;&lt;RecNum&gt;121&lt;/RecNum&gt;&lt;DisplayText&gt;[6]&lt;/DisplayText&gt;&lt;record&gt;&lt;rec-number&gt;121&lt;/rec-number&gt;&lt;foreign-keys&gt;&lt;key app="EN" db-id="00radttrhft507ezfs5vzpz3zswda5rdfzrx" timestamp="1420701447"&gt;121&lt;/key&gt;&lt;/foreign-keys&gt;&lt;ref-type name="Journal Article"&gt;17&lt;/ref-type&gt;&lt;contributors&gt;&lt;authors&gt;&lt;author&gt;Sabeti, Malihe&lt;/author&gt;&lt;author&gt;Katebi, Serajeddin&lt;/author&gt;&lt;author&gt;Boostani, Reza&lt;/author&gt;&lt;/authors&gt;&lt;/contributors&gt;&lt;titles&gt;&lt;title&gt;Entropy and complexity measures for EEG signal classification of schizophrenic and control participants&lt;/title&gt;&lt;secondary-title&gt;Artificial Intelligence in Medicine&lt;/secondary-title&gt;&lt;/titles&gt;&lt;periodical&gt;&lt;full-title&gt;Artificial Intelligence in Medicine&lt;/full-title&gt;&lt;/periodical&gt;&lt;pages&gt;263-274&lt;/pages&gt;&lt;volume&gt;47&lt;/volume&gt;&lt;number&gt;3&lt;/number&gt;&lt;keywords&gt;&lt;keyword&gt;Schizophrenic&lt;/keyword&gt;&lt;keyword&gt;Entropy&lt;/keyword&gt;&lt;keyword&gt;Complexity&lt;/keyword&gt;&lt;keyword&gt;Features selection&lt;/keyword&gt;&lt;keyword&gt;EEG classification&lt;/keyword&gt;&lt;/keywords&gt;&lt;dates&gt;&lt;year&gt;2009&lt;/year&gt;&lt;/dates&gt;&lt;isbn&gt;0933-3657&lt;/isbn&gt;&lt;urls&gt;&lt;related-urls&gt;&lt;url&gt;http://www.sciencedirect.com/science/article/pii/S0933365709000530&lt;/url&gt;&lt;url&gt;http://ac.els-cdn.com/S0933365709000530/1-s2.0-S0933365709000530-main.pdf?_tid=7d4147a8-f801-11e2-ab35-00000aacb361&amp;amp;acdnat=1375069785_87c61c2ea0c57a454a1b24c5987da926&lt;/url&gt;&lt;/related-urls&gt;&lt;/urls&gt;&lt;electronic-resource-num&gt;http://dx.doi.org/10.1016/j.artmed.2009.03.003&lt;/electronic-resource-num&gt;&lt;/record&gt;&lt;/Cite&gt;&lt;/EndNote&gt;</w:instrText>
      </w:r>
      <w:r w:rsidRPr="00A15D38">
        <w:rPr>
          <w:kern w:val="1"/>
          <w:szCs w:val="24"/>
        </w:rPr>
        <w:fldChar w:fldCharType="separate"/>
      </w:r>
      <w:r w:rsidR="00170B20">
        <w:rPr>
          <w:noProof/>
          <w:kern w:val="1"/>
          <w:szCs w:val="24"/>
        </w:rPr>
        <w:t>[6]</w:t>
      </w:r>
      <w:r w:rsidRPr="00A15D38">
        <w:rPr>
          <w:kern w:val="1"/>
          <w:szCs w:val="24"/>
        </w:rPr>
        <w:fldChar w:fldCharType="end"/>
      </w:r>
      <w:r w:rsidRPr="00A15D38">
        <w:rPr>
          <w:kern w:val="1"/>
          <w:szCs w:val="24"/>
        </w:rPr>
        <w:t>. Briefly, each trace was visually inspected for a 2 min interval without artefacts, and normalised by dividing the signal by the standard deviation. Due to the non-stationary nature of EEG signals the trace was divided into 5 s blocks and several measures of entropy was determined including: Shannon Entropy, Spectral Entropy, Approximate Entropy (code by Kijoon Lee, © 2012, from Mathworks online), Lempel-Ziv complexity (code by Quang Thai, © 2012, from Mathworks online), Higuichi Fractal Dimension (code by Salai Selvam, © 2011, from Mathworks online). The average of the 5 s blocks was used in further analysis. Briefly, the parameters used for analysis were: Shannon entropy, 50 bins, upper and min amplitudes 2.5 SD of signal; spectral entropy, 1-50 Hz range with 1 Hz frequency bins; Lempel-Ziv complexity, 0’s and 1’s classified based upon above or below mean; Higuichi Fractal-Dimension, maximum dimension length for comparision was 50; and for sample entropy dimension was 4, tolerance of similarity was 0.2 SD.</w:t>
      </w:r>
    </w:p>
    <w:p w14:paraId="6F40E3F7" w14:textId="47F652A8" w:rsidR="006D4FDE" w:rsidRPr="00A15D38" w:rsidRDefault="0021647B" w:rsidP="00D230C9">
      <w:r w:rsidRPr="00A15D38">
        <w:rPr>
          <w:kern w:val="1"/>
          <w:szCs w:val="24"/>
        </w:rPr>
        <w:t>The use of ECG in the protocol allowed monitoring of anaesthesia depth. Ten min of ECG from each animal was analysed offline for waveform intervals, heart rate, and heart rate variability (HRV) (LabChart 7.3.7, Modules: ECG Analysis 2.3.2, HRV 1.4.2). HRV frequencies were based upon</w:t>
      </w:r>
      <w:r>
        <w:rPr>
          <w:kern w:val="1"/>
          <w:szCs w:val="24"/>
        </w:rPr>
        <w:t xml:space="preserve"> methodology of Kuwahara and colleagues</w:t>
      </w:r>
      <w:r w:rsidRPr="00A15D38">
        <w:rPr>
          <w:kern w:val="1"/>
          <w:szCs w:val="24"/>
        </w:rPr>
        <w:t xml:space="preserve"> (</w:t>
      </w:r>
      <w:hyperlink r:id="rId13" w:history="1">
        <w:r w:rsidRPr="00A15D38">
          <w:rPr>
            <w:kern w:val="1"/>
            <w:szCs w:val="24"/>
          </w:rPr>
          <w:t>Kuwahara et al., 1994</w:t>
        </w:r>
      </w:hyperlink>
      <w:r w:rsidRPr="00A15D38">
        <w:rPr>
          <w:kern w:val="1"/>
          <w:szCs w:val="24"/>
        </w:rPr>
        <w:t xml:space="preserve">) using R-R intervals as the measures of heart rate. </w:t>
      </w:r>
    </w:p>
    <w:p w14:paraId="03FB58ED" w14:textId="079A4DBC" w:rsidR="00B74953" w:rsidRPr="00C3691C" w:rsidRDefault="00B74953" w:rsidP="00B74953">
      <w:pPr>
        <w:pStyle w:val="Heading3"/>
        <w:rPr>
          <w:lang w:val="en-US" w:eastAsia="en-AU" w:bidi="en-US"/>
        </w:rPr>
      </w:pPr>
      <w:r>
        <w:rPr>
          <w:lang w:val="en-US" w:eastAsia="en-AU" w:bidi="en-US"/>
        </w:rPr>
        <w:lastRenderedPageBreak/>
        <w:t>S.</w:t>
      </w:r>
      <w:r w:rsidR="00170B20">
        <w:rPr>
          <w:lang w:val="en-US" w:eastAsia="en-AU" w:bidi="en-US"/>
        </w:rPr>
        <w:t>2</w:t>
      </w:r>
      <w:r>
        <w:rPr>
          <w:lang w:val="en-US" w:eastAsia="en-AU" w:bidi="en-US"/>
        </w:rPr>
        <w:t>.</w:t>
      </w:r>
      <w:r w:rsidR="00170B20">
        <w:rPr>
          <w:lang w:val="en-US" w:eastAsia="en-AU" w:bidi="en-US"/>
        </w:rPr>
        <w:t>6</w:t>
      </w:r>
      <w:r>
        <w:rPr>
          <w:lang w:val="en-US" w:eastAsia="en-AU" w:bidi="en-US"/>
        </w:rPr>
        <w:t xml:space="preserve"> P50 Waveform</w:t>
      </w:r>
      <w:r w:rsidR="00170B20">
        <w:rPr>
          <w:lang w:val="en-US" w:eastAsia="en-AU" w:bidi="en-US"/>
        </w:rPr>
        <w:t xml:space="preserve"> Statistics</w:t>
      </w:r>
    </w:p>
    <w:tbl>
      <w:tblPr>
        <w:tblStyle w:val="TableGrid"/>
        <w:tblW w:w="0" w:type="auto"/>
        <w:jc w:val="center"/>
        <w:tblLook w:val="04A0" w:firstRow="1" w:lastRow="0" w:firstColumn="1" w:lastColumn="0" w:noHBand="0" w:noVBand="1"/>
      </w:tblPr>
      <w:tblGrid>
        <w:gridCol w:w="1350"/>
        <w:gridCol w:w="1951"/>
        <w:gridCol w:w="717"/>
        <w:gridCol w:w="984"/>
        <w:gridCol w:w="984"/>
      </w:tblGrid>
      <w:tr w:rsidR="000F69FB" w:rsidRPr="003A2270" w14:paraId="1A663050" w14:textId="77777777" w:rsidTr="000C26DE">
        <w:trPr>
          <w:jc w:val="center"/>
        </w:trPr>
        <w:tc>
          <w:tcPr>
            <w:tcW w:w="1350" w:type="dxa"/>
          </w:tcPr>
          <w:p w14:paraId="7B26D752" w14:textId="77777777" w:rsidR="000F69FB" w:rsidRPr="005F7FF0" w:rsidRDefault="000F69FB" w:rsidP="000F69FB">
            <w:pPr>
              <w:pStyle w:val="Table"/>
              <w:ind w:firstLine="0"/>
              <w:rPr>
                <w:i/>
              </w:rPr>
            </w:pPr>
            <w:r w:rsidRPr="005F7FF0">
              <w:t>Peak Ratio</w:t>
            </w:r>
          </w:p>
        </w:tc>
        <w:tc>
          <w:tcPr>
            <w:tcW w:w="1951" w:type="dxa"/>
          </w:tcPr>
          <w:p w14:paraId="1C1F71CE" w14:textId="77777777" w:rsidR="000F69FB" w:rsidRPr="005F7FF0" w:rsidRDefault="000F69FB" w:rsidP="000F69FB">
            <w:pPr>
              <w:pStyle w:val="Table"/>
              <w:ind w:firstLine="0"/>
            </w:pPr>
            <w:r w:rsidRPr="005F7FF0">
              <w:t>Effect</w:t>
            </w:r>
          </w:p>
        </w:tc>
        <w:tc>
          <w:tcPr>
            <w:tcW w:w="717" w:type="dxa"/>
          </w:tcPr>
          <w:p w14:paraId="7D5DBFFA" w14:textId="77777777" w:rsidR="000F69FB" w:rsidRPr="005F7FF0" w:rsidRDefault="000F69FB" w:rsidP="000F69FB">
            <w:pPr>
              <w:pStyle w:val="Table"/>
              <w:ind w:firstLine="0"/>
            </w:pPr>
            <w:r w:rsidRPr="005F7FF0">
              <w:t>df</w:t>
            </w:r>
          </w:p>
        </w:tc>
        <w:tc>
          <w:tcPr>
            <w:tcW w:w="984" w:type="dxa"/>
          </w:tcPr>
          <w:p w14:paraId="109AD95A" w14:textId="77777777" w:rsidR="000F69FB" w:rsidRPr="005F7FF0" w:rsidRDefault="000F69FB" w:rsidP="000F69FB">
            <w:pPr>
              <w:pStyle w:val="Table"/>
              <w:ind w:firstLine="0"/>
            </w:pPr>
            <w:r w:rsidRPr="005F7FF0">
              <w:t>F value</w:t>
            </w:r>
          </w:p>
        </w:tc>
        <w:tc>
          <w:tcPr>
            <w:tcW w:w="984" w:type="dxa"/>
          </w:tcPr>
          <w:p w14:paraId="1F910B2B" w14:textId="77777777" w:rsidR="000F69FB" w:rsidRPr="005F7FF0" w:rsidRDefault="000F69FB" w:rsidP="000F69FB">
            <w:pPr>
              <w:pStyle w:val="Table"/>
              <w:ind w:firstLine="0"/>
            </w:pPr>
            <w:r w:rsidRPr="005F7FF0">
              <w:t>p-value</w:t>
            </w:r>
          </w:p>
        </w:tc>
      </w:tr>
      <w:tr w:rsidR="000F69FB" w:rsidRPr="003A2270" w14:paraId="795B0380" w14:textId="77777777" w:rsidTr="000C26DE">
        <w:trPr>
          <w:jc w:val="center"/>
        </w:trPr>
        <w:tc>
          <w:tcPr>
            <w:tcW w:w="1350" w:type="dxa"/>
          </w:tcPr>
          <w:p w14:paraId="5D582FAC" w14:textId="77777777" w:rsidR="000F69FB" w:rsidRPr="005F7FF0" w:rsidRDefault="000F69FB" w:rsidP="000F69FB">
            <w:pPr>
              <w:pStyle w:val="Table"/>
              <w:ind w:firstLine="0"/>
            </w:pPr>
            <w:r w:rsidRPr="005F7FF0">
              <w:t>P1</w:t>
            </w:r>
          </w:p>
        </w:tc>
        <w:tc>
          <w:tcPr>
            <w:tcW w:w="1951" w:type="dxa"/>
          </w:tcPr>
          <w:p w14:paraId="1B29C5AF" w14:textId="77777777" w:rsidR="000F69FB" w:rsidRPr="003A2270" w:rsidRDefault="000F69FB" w:rsidP="000F69FB">
            <w:pPr>
              <w:pStyle w:val="Table"/>
              <w:ind w:firstLine="0"/>
            </w:pPr>
            <w:r w:rsidRPr="003A2270">
              <w:t>Group</w:t>
            </w:r>
          </w:p>
          <w:p w14:paraId="2C918924" w14:textId="77777777" w:rsidR="000F69FB" w:rsidRPr="003A2270" w:rsidRDefault="000F69FB" w:rsidP="000F69FB">
            <w:pPr>
              <w:pStyle w:val="Table"/>
              <w:ind w:firstLine="0"/>
            </w:pPr>
            <w:r w:rsidRPr="003A2270">
              <w:t>ISI</w:t>
            </w:r>
          </w:p>
          <w:p w14:paraId="6646F741" w14:textId="77777777" w:rsidR="000F69FB" w:rsidRPr="003A2270" w:rsidRDefault="000F69FB" w:rsidP="000F69FB">
            <w:pPr>
              <w:pStyle w:val="Table"/>
              <w:ind w:firstLine="0"/>
            </w:pPr>
            <w:r w:rsidRPr="003A2270">
              <w:t>Side</w:t>
            </w:r>
          </w:p>
          <w:p w14:paraId="4B8855E6" w14:textId="77777777" w:rsidR="000F69FB" w:rsidRPr="003A2270" w:rsidRDefault="000F69FB" w:rsidP="000F69FB">
            <w:pPr>
              <w:pStyle w:val="Table"/>
              <w:ind w:firstLine="0"/>
            </w:pPr>
            <w:r w:rsidRPr="003A2270">
              <w:t>Group x ISI</w:t>
            </w:r>
          </w:p>
          <w:p w14:paraId="485437DD" w14:textId="77777777" w:rsidR="000F69FB" w:rsidRPr="003A2270" w:rsidRDefault="000F69FB" w:rsidP="000F69FB">
            <w:pPr>
              <w:pStyle w:val="Table"/>
              <w:ind w:firstLine="0"/>
            </w:pPr>
            <w:r w:rsidRPr="003A2270">
              <w:t>Group x Side</w:t>
            </w:r>
          </w:p>
          <w:p w14:paraId="61EFF4EC" w14:textId="77777777" w:rsidR="000F69FB" w:rsidRPr="003A2270" w:rsidRDefault="000F69FB" w:rsidP="000F69FB">
            <w:pPr>
              <w:pStyle w:val="Table"/>
              <w:ind w:firstLine="0"/>
            </w:pPr>
            <w:r w:rsidRPr="003A2270">
              <w:t>Condition x Side</w:t>
            </w:r>
          </w:p>
          <w:p w14:paraId="4D93E131" w14:textId="77777777" w:rsidR="000F69FB" w:rsidRPr="003A2270" w:rsidRDefault="000F69FB" w:rsidP="000F69FB">
            <w:pPr>
              <w:pStyle w:val="Table"/>
              <w:ind w:firstLine="0"/>
            </w:pPr>
            <w:r w:rsidRPr="003A2270">
              <w:t>Group x ISI x Side</w:t>
            </w:r>
          </w:p>
        </w:tc>
        <w:tc>
          <w:tcPr>
            <w:tcW w:w="717" w:type="dxa"/>
          </w:tcPr>
          <w:p w14:paraId="3D32FE60" w14:textId="77777777" w:rsidR="000F69FB" w:rsidRPr="003A2270" w:rsidRDefault="000F69FB" w:rsidP="000F69FB">
            <w:pPr>
              <w:pStyle w:val="Table"/>
              <w:ind w:firstLine="0"/>
            </w:pPr>
            <w:r w:rsidRPr="003A2270">
              <w:t>1, 35</w:t>
            </w:r>
          </w:p>
          <w:p w14:paraId="68558017" w14:textId="77777777" w:rsidR="000F69FB" w:rsidRPr="003A2270" w:rsidRDefault="000F69FB" w:rsidP="000F69FB">
            <w:pPr>
              <w:pStyle w:val="Table"/>
              <w:ind w:firstLine="0"/>
            </w:pPr>
            <w:r w:rsidRPr="003A2270">
              <w:t>1, 35</w:t>
            </w:r>
          </w:p>
          <w:p w14:paraId="331FDCAE" w14:textId="77777777" w:rsidR="000F69FB" w:rsidRPr="003A2270" w:rsidRDefault="000F69FB" w:rsidP="000F69FB">
            <w:pPr>
              <w:pStyle w:val="Table"/>
              <w:ind w:firstLine="0"/>
            </w:pPr>
            <w:r w:rsidRPr="003A2270">
              <w:t>1, 35</w:t>
            </w:r>
          </w:p>
          <w:p w14:paraId="6861CF62" w14:textId="77777777" w:rsidR="000F69FB" w:rsidRPr="003A2270" w:rsidRDefault="000F69FB" w:rsidP="000F69FB">
            <w:pPr>
              <w:pStyle w:val="Table"/>
              <w:ind w:firstLine="0"/>
            </w:pPr>
            <w:r w:rsidRPr="003A2270">
              <w:t>1, 35</w:t>
            </w:r>
          </w:p>
          <w:p w14:paraId="0B5DCA15" w14:textId="77777777" w:rsidR="000F69FB" w:rsidRPr="003A2270" w:rsidRDefault="000F69FB" w:rsidP="000F69FB">
            <w:pPr>
              <w:pStyle w:val="Table"/>
              <w:ind w:firstLine="0"/>
            </w:pPr>
            <w:r w:rsidRPr="003A2270">
              <w:t>1, 35</w:t>
            </w:r>
          </w:p>
          <w:p w14:paraId="281E3530" w14:textId="77777777" w:rsidR="000F69FB" w:rsidRPr="003A2270" w:rsidRDefault="000F69FB" w:rsidP="000F69FB">
            <w:pPr>
              <w:pStyle w:val="Table"/>
              <w:ind w:firstLine="0"/>
            </w:pPr>
            <w:r w:rsidRPr="003A2270">
              <w:t>1, 35</w:t>
            </w:r>
          </w:p>
          <w:p w14:paraId="29EB36B3" w14:textId="77777777" w:rsidR="000F69FB" w:rsidRPr="003A2270" w:rsidRDefault="000F69FB" w:rsidP="000F69FB">
            <w:pPr>
              <w:pStyle w:val="Table"/>
              <w:ind w:firstLine="0"/>
            </w:pPr>
            <w:r w:rsidRPr="003A2270">
              <w:t>1, 35</w:t>
            </w:r>
          </w:p>
        </w:tc>
        <w:tc>
          <w:tcPr>
            <w:tcW w:w="984" w:type="dxa"/>
          </w:tcPr>
          <w:p w14:paraId="3F9E36B6" w14:textId="77777777" w:rsidR="000F69FB" w:rsidRPr="003A2270" w:rsidRDefault="000F69FB" w:rsidP="000F69FB">
            <w:pPr>
              <w:pStyle w:val="Table"/>
              <w:ind w:firstLine="0"/>
            </w:pPr>
            <w:r w:rsidRPr="003A2270">
              <w:t>1.498</w:t>
            </w:r>
          </w:p>
          <w:p w14:paraId="33A5BB1C" w14:textId="77777777" w:rsidR="000F69FB" w:rsidRPr="003A2270" w:rsidRDefault="000F69FB" w:rsidP="000F69FB">
            <w:pPr>
              <w:pStyle w:val="Table"/>
              <w:ind w:firstLine="0"/>
            </w:pPr>
            <w:r w:rsidRPr="003A2270">
              <w:t>0.004</w:t>
            </w:r>
          </w:p>
          <w:p w14:paraId="7807F696" w14:textId="77777777" w:rsidR="000F69FB" w:rsidRPr="003A2270" w:rsidRDefault="000F69FB" w:rsidP="000F69FB">
            <w:pPr>
              <w:pStyle w:val="Table"/>
              <w:ind w:firstLine="0"/>
            </w:pPr>
            <w:r w:rsidRPr="003A2270">
              <w:t>0.002</w:t>
            </w:r>
          </w:p>
          <w:p w14:paraId="648BDB64" w14:textId="77777777" w:rsidR="000F69FB" w:rsidRPr="003A2270" w:rsidRDefault="000F69FB" w:rsidP="000F69FB">
            <w:pPr>
              <w:pStyle w:val="Table"/>
              <w:ind w:firstLine="0"/>
            </w:pPr>
            <w:r w:rsidRPr="003A2270">
              <w:t>2.174</w:t>
            </w:r>
          </w:p>
          <w:p w14:paraId="646C71C1" w14:textId="77777777" w:rsidR="000F69FB" w:rsidRPr="003A2270" w:rsidRDefault="000F69FB" w:rsidP="000F69FB">
            <w:pPr>
              <w:pStyle w:val="Table"/>
              <w:ind w:firstLine="0"/>
            </w:pPr>
            <w:r w:rsidRPr="003A2270">
              <w:t>0.684</w:t>
            </w:r>
          </w:p>
          <w:p w14:paraId="2F54DE91" w14:textId="77777777" w:rsidR="000F69FB" w:rsidRPr="003A2270" w:rsidRDefault="000F69FB" w:rsidP="000F69FB">
            <w:pPr>
              <w:pStyle w:val="Table"/>
              <w:ind w:firstLine="0"/>
            </w:pPr>
            <w:r w:rsidRPr="003A2270">
              <w:t>0.696</w:t>
            </w:r>
          </w:p>
          <w:p w14:paraId="65EB3844" w14:textId="77777777" w:rsidR="000F69FB" w:rsidRPr="003A2270" w:rsidRDefault="000F69FB" w:rsidP="000F69FB">
            <w:pPr>
              <w:pStyle w:val="Table"/>
              <w:ind w:firstLine="0"/>
            </w:pPr>
            <w:r w:rsidRPr="003A2270">
              <w:t>1.712</w:t>
            </w:r>
          </w:p>
        </w:tc>
        <w:tc>
          <w:tcPr>
            <w:tcW w:w="984" w:type="dxa"/>
          </w:tcPr>
          <w:p w14:paraId="0BDA6F82" w14:textId="77777777" w:rsidR="000F69FB" w:rsidRPr="003A2270" w:rsidRDefault="000F69FB" w:rsidP="000F69FB">
            <w:pPr>
              <w:pStyle w:val="Table"/>
              <w:ind w:firstLine="0"/>
            </w:pPr>
            <w:r w:rsidRPr="003A2270">
              <w:t>0.229</w:t>
            </w:r>
          </w:p>
          <w:p w14:paraId="55F489CB" w14:textId="77777777" w:rsidR="000F69FB" w:rsidRPr="003A2270" w:rsidRDefault="000F69FB" w:rsidP="000F69FB">
            <w:pPr>
              <w:pStyle w:val="Table"/>
              <w:ind w:firstLine="0"/>
            </w:pPr>
            <w:r w:rsidRPr="003A2270">
              <w:t>0.948</w:t>
            </w:r>
          </w:p>
          <w:p w14:paraId="21571A19" w14:textId="77777777" w:rsidR="000F69FB" w:rsidRPr="003A2270" w:rsidRDefault="000F69FB" w:rsidP="000F69FB">
            <w:pPr>
              <w:pStyle w:val="Table"/>
              <w:ind w:firstLine="0"/>
            </w:pPr>
            <w:r w:rsidRPr="003A2270">
              <w:t>0.967</w:t>
            </w:r>
          </w:p>
          <w:p w14:paraId="2590F365" w14:textId="77777777" w:rsidR="000F69FB" w:rsidRPr="003A2270" w:rsidRDefault="000F69FB" w:rsidP="000F69FB">
            <w:pPr>
              <w:pStyle w:val="Table"/>
              <w:ind w:firstLine="0"/>
            </w:pPr>
            <w:r w:rsidRPr="003A2270">
              <w:t>0.149</w:t>
            </w:r>
          </w:p>
          <w:p w14:paraId="44D63A04" w14:textId="77777777" w:rsidR="000F69FB" w:rsidRPr="003A2270" w:rsidRDefault="000F69FB" w:rsidP="000F69FB">
            <w:pPr>
              <w:pStyle w:val="Table"/>
              <w:ind w:firstLine="0"/>
            </w:pPr>
            <w:r w:rsidRPr="003A2270">
              <w:t>0.414</w:t>
            </w:r>
          </w:p>
          <w:p w14:paraId="697C7A80" w14:textId="77777777" w:rsidR="000F69FB" w:rsidRPr="003A2270" w:rsidRDefault="000F69FB" w:rsidP="000F69FB">
            <w:pPr>
              <w:pStyle w:val="Table"/>
              <w:ind w:firstLine="0"/>
            </w:pPr>
            <w:r w:rsidRPr="003A2270">
              <w:t>0.410</w:t>
            </w:r>
          </w:p>
          <w:p w14:paraId="6774728A" w14:textId="77777777" w:rsidR="000F69FB" w:rsidRPr="003A2270" w:rsidRDefault="000F69FB" w:rsidP="000F69FB">
            <w:pPr>
              <w:pStyle w:val="Table"/>
              <w:ind w:firstLine="0"/>
            </w:pPr>
            <w:r w:rsidRPr="003A2270">
              <w:t>0.199</w:t>
            </w:r>
          </w:p>
        </w:tc>
      </w:tr>
      <w:tr w:rsidR="000F69FB" w:rsidRPr="003A2270" w14:paraId="7CB782AB" w14:textId="77777777" w:rsidTr="000C26DE">
        <w:trPr>
          <w:jc w:val="center"/>
        </w:trPr>
        <w:tc>
          <w:tcPr>
            <w:tcW w:w="1350" w:type="dxa"/>
          </w:tcPr>
          <w:p w14:paraId="33A250DE" w14:textId="77777777" w:rsidR="000F69FB" w:rsidRPr="005F7FF0" w:rsidRDefault="000F69FB" w:rsidP="000F69FB">
            <w:pPr>
              <w:pStyle w:val="Table"/>
              <w:ind w:firstLine="0"/>
            </w:pPr>
            <w:r w:rsidRPr="005F7FF0">
              <w:t>N1</w:t>
            </w:r>
          </w:p>
        </w:tc>
        <w:tc>
          <w:tcPr>
            <w:tcW w:w="1951" w:type="dxa"/>
          </w:tcPr>
          <w:p w14:paraId="750528CA" w14:textId="77777777" w:rsidR="000F69FB" w:rsidRPr="003A2270" w:rsidRDefault="000F69FB" w:rsidP="000F69FB">
            <w:pPr>
              <w:pStyle w:val="Table"/>
              <w:ind w:firstLine="0"/>
            </w:pPr>
            <w:r w:rsidRPr="003A2270">
              <w:t>Group</w:t>
            </w:r>
          </w:p>
          <w:p w14:paraId="61FACCE9" w14:textId="77777777" w:rsidR="000F69FB" w:rsidRPr="003A2270" w:rsidRDefault="000F69FB" w:rsidP="000F69FB">
            <w:pPr>
              <w:pStyle w:val="Table"/>
              <w:ind w:firstLine="0"/>
            </w:pPr>
            <w:r w:rsidRPr="003A2270">
              <w:t>ISI</w:t>
            </w:r>
          </w:p>
          <w:p w14:paraId="6D93E67A" w14:textId="77777777" w:rsidR="000F69FB" w:rsidRPr="003A2270" w:rsidRDefault="000F69FB" w:rsidP="000F69FB">
            <w:pPr>
              <w:pStyle w:val="Table"/>
              <w:ind w:firstLine="0"/>
            </w:pPr>
            <w:r w:rsidRPr="003A2270">
              <w:t>Side</w:t>
            </w:r>
          </w:p>
          <w:p w14:paraId="5DFDBC5F" w14:textId="77777777" w:rsidR="000F69FB" w:rsidRPr="003A2270" w:rsidRDefault="000F69FB" w:rsidP="000F69FB">
            <w:pPr>
              <w:pStyle w:val="Table"/>
              <w:ind w:firstLine="0"/>
            </w:pPr>
            <w:r w:rsidRPr="003A2270">
              <w:t>Group x ISI</w:t>
            </w:r>
          </w:p>
          <w:p w14:paraId="6A3071A2" w14:textId="77777777" w:rsidR="000F69FB" w:rsidRPr="003A2270" w:rsidRDefault="000F69FB" w:rsidP="000F69FB">
            <w:pPr>
              <w:pStyle w:val="Table"/>
              <w:ind w:firstLine="0"/>
            </w:pPr>
            <w:r w:rsidRPr="003A2270">
              <w:t>Group x Side</w:t>
            </w:r>
          </w:p>
          <w:p w14:paraId="5F844DFC" w14:textId="77777777" w:rsidR="000F69FB" w:rsidRPr="003A2270" w:rsidRDefault="000F69FB" w:rsidP="000F69FB">
            <w:pPr>
              <w:pStyle w:val="Table"/>
              <w:ind w:firstLine="0"/>
            </w:pPr>
            <w:r w:rsidRPr="003A2270">
              <w:t>Condition x Side</w:t>
            </w:r>
          </w:p>
          <w:p w14:paraId="71B0993B" w14:textId="77777777" w:rsidR="000F69FB" w:rsidRPr="003A2270" w:rsidRDefault="000F69FB" w:rsidP="000F69FB">
            <w:pPr>
              <w:pStyle w:val="Table"/>
              <w:ind w:firstLine="0"/>
            </w:pPr>
            <w:r w:rsidRPr="003A2270">
              <w:t>Group x ISI x Side</w:t>
            </w:r>
          </w:p>
        </w:tc>
        <w:tc>
          <w:tcPr>
            <w:tcW w:w="717" w:type="dxa"/>
          </w:tcPr>
          <w:p w14:paraId="1EF360BA" w14:textId="77777777" w:rsidR="000F69FB" w:rsidRPr="003A2270" w:rsidRDefault="000F69FB" w:rsidP="000F69FB">
            <w:pPr>
              <w:pStyle w:val="Table"/>
              <w:ind w:firstLine="0"/>
            </w:pPr>
            <w:r w:rsidRPr="003A2270">
              <w:t>1, 35</w:t>
            </w:r>
          </w:p>
          <w:p w14:paraId="79D26F72" w14:textId="77777777" w:rsidR="000F69FB" w:rsidRPr="003A2270" w:rsidRDefault="000F69FB" w:rsidP="000F69FB">
            <w:pPr>
              <w:pStyle w:val="Table"/>
              <w:ind w:firstLine="0"/>
            </w:pPr>
            <w:r w:rsidRPr="003A2270">
              <w:t>1, 35</w:t>
            </w:r>
          </w:p>
          <w:p w14:paraId="190A6B3E" w14:textId="77777777" w:rsidR="000F69FB" w:rsidRPr="003A2270" w:rsidRDefault="000F69FB" w:rsidP="000F69FB">
            <w:pPr>
              <w:pStyle w:val="Table"/>
              <w:ind w:firstLine="0"/>
            </w:pPr>
            <w:r w:rsidRPr="003A2270">
              <w:t>1, 35</w:t>
            </w:r>
          </w:p>
          <w:p w14:paraId="3FC0E2B2" w14:textId="77777777" w:rsidR="000F69FB" w:rsidRPr="003A2270" w:rsidRDefault="000F69FB" w:rsidP="000F69FB">
            <w:pPr>
              <w:pStyle w:val="Table"/>
              <w:ind w:firstLine="0"/>
            </w:pPr>
            <w:r w:rsidRPr="003A2270">
              <w:t>1, 35</w:t>
            </w:r>
          </w:p>
          <w:p w14:paraId="65C590D7" w14:textId="77777777" w:rsidR="000F69FB" w:rsidRPr="003A2270" w:rsidRDefault="000F69FB" w:rsidP="000F69FB">
            <w:pPr>
              <w:pStyle w:val="Table"/>
              <w:ind w:firstLine="0"/>
            </w:pPr>
            <w:r w:rsidRPr="003A2270">
              <w:t>1, 35</w:t>
            </w:r>
          </w:p>
          <w:p w14:paraId="67528190" w14:textId="77777777" w:rsidR="000F69FB" w:rsidRPr="003A2270" w:rsidRDefault="000F69FB" w:rsidP="000F69FB">
            <w:pPr>
              <w:pStyle w:val="Table"/>
              <w:ind w:firstLine="0"/>
            </w:pPr>
            <w:r w:rsidRPr="003A2270">
              <w:t>1, 35</w:t>
            </w:r>
          </w:p>
          <w:p w14:paraId="63415C02" w14:textId="77777777" w:rsidR="000F69FB" w:rsidRPr="003A2270" w:rsidRDefault="000F69FB" w:rsidP="000F69FB">
            <w:pPr>
              <w:pStyle w:val="Table"/>
              <w:ind w:firstLine="0"/>
            </w:pPr>
            <w:r w:rsidRPr="003A2270">
              <w:t>1, 35</w:t>
            </w:r>
          </w:p>
        </w:tc>
        <w:tc>
          <w:tcPr>
            <w:tcW w:w="984" w:type="dxa"/>
          </w:tcPr>
          <w:p w14:paraId="5D73ABBD" w14:textId="77777777" w:rsidR="000F69FB" w:rsidRPr="003A2270" w:rsidRDefault="000F69FB" w:rsidP="000F69FB">
            <w:pPr>
              <w:pStyle w:val="Table"/>
              <w:ind w:firstLine="0"/>
            </w:pPr>
            <w:r w:rsidRPr="003A2270">
              <w:t>1.201</w:t>
            </w:r>
          </w:p>
          <w:p w14:paraId="39906AE5" w14:textId="77777777" w:rsidR="000F69FB" w:rsidRPr="003A2270" w:rsidRDefault="000F69FB" w:rsidP="000F69FB">
            <w:pPr>
              <w:pStyle w:val="Table"/>
              <w:ind w:firstLine="0"/>
            </w:pPr>
            <w:r w:rsidRPr="003A2270">
              <w:t>0.480</w:t>
            </w:r>
          </w:p>
          <w:p w14:paraId="7461A8FB" w14:textId="77777777" w:rsidR="000F69FB" w:rsidRPr="003A2270" w:rsidRDefault="000F69FB" w:rsidP="000F69FB">
            <w:pPr>
              <w:pStyle w:val="Table"/>
              <w:ind w:firstLine="0"/>
            </w:pPr>
            <w:r w:rsidRPr="003A2270">
              <w:t>0.073</w:t>
            </w:r>
          </w:p>
          <w:p w14:paraId="619CA48F" w14:textId="77777777" w:rsidR="000F69FB" w:rsidRPr="003A2270" w:rsidRDefault="000F69FB" w:rsidP="000F69FB">
            <w:pPr>
              <w:pStyle w:val="Table"/>
              <w:ind w:firstLine="0"/>
            </w:pPr>
            <w:r w:rsidRPr="003A2270">
              <w:t>0.403</w:t>
            </w:r>
          </w:p>
          <w:p w14:paraId="5161FA0F" w14:textId="77777777" w:rsidR="000F69FB" w:rsidRPr="003A2270" w:rsidRDefault="000F69FB" w:rsidP="000F69FB">
            <w:pPr>
              <w:pStyle w:val="Table"/>
              <w:ind w:firstLine="0"/>
            </w:pPr>
            <w:r w:rsidRPr="003A2270">
              <w:t>4.012</w:t>
            </w:r>
          </w:p>
          <w:p w14:paraId="36C2F1CF" w14:textId="77777777" w:rsidR="000F69FB" w:rsidRPr="003A2270" w:rsidRDefault="000F69FB" w:rsidP="000F69FB">
            <w:pPr>
              <w:pStyle w:val="Table"/>
              <w:ind w:firstLine="0"/>
            </w:pPr>
            <w:r w:rsidRPr="003A2270">
              <w:t>1.066</w:t>
            </w:r>
          </w:p>
          <w:p w14:paraId="6FC35C4D" w14:textId="77777777" w:rsidR="000F69FB" w:rsidRPr="003A2270" w:rsidRDefault="000F69FB" w:rsidP="000F69FB">
            <w:pPr>
              <w:pStyle w:val="Table"/>
              <w:ind w:firstLine="0"/>
            </w:pPr>
            <w:r w:rsidRPr="003A2270">
              <w:t>4.377</w:t>
            </w:r>
          </w:p>
        </w:tc>
        <w:tc>
          <w:tcPr>
            <w:tcW w:w="984" w:type="dxa"/>
          </w:tcPr>
          <w:p w14:paraId="34B8E877" w14:textId="77777777" w:rsidR="000F69FB" w:rsidRPr="003A2270" w:rsidRDefault="000F69FB" w:rsidP="000F69FB">
            <w:pPr>
              <w:pStyle w:val="Table"/>
              <w:ind w:firstLine="0"/>
            </w:pPr>
            <w:r w:rsidRPr="003A2270">
              <w:t>0.281</w:t>
            </w:r>
          </w:p>
          <w:p w14:paraId="34BAE5B0" w14:textId="77777777" w:rsidR="000F69FB" w:rsidRPr="003A2270" w:rsidRDefault="000F69FB" w:rsidP="000F69FB">
            <w:pPr>
              <w:pStyle w:val="Table"/>
              <w:ind w:firstLine="0"/>
            </w:pPr>
            <w:r w:rsidRPr="003A2270">
              <w:t>0.493</w:t>
            </w:r>
          </w:p>
          <w:p w14:paraId="010A5D38" w14:textId="77777777" w:rsidR="000F69FB" w:rsidRPr="003A2270" w:rsidRDefault="000F69FB" w:rsidP="000F69FB">
            <w:pPr>
              <w:pStyle w:val="Table"/>
              <w:ind w:firstLine="0"/>
            </w:pPr>
            <w:r w:rsidRPr="003A2270">
              <w:t>0.789</w:t>
            </w:r>
          </w:p>
          <w:p w14:paraId="05A6DD60" w14:textId="77777777" w:rsidR="000F69FB" w:rsidRPr="003A2270" w:rsidRDefault="000F69FB" w:rsidP="000F69FB">
            <w:pPr>
              <w:pStyle w:val="Table"/>
              <w:ind w:firstLine="0"/>
            </w:pPr>
            <w:r w:rsidRPr="003A2270">
              <w:t>0.529</w:t>
            </w:r>
          </w:p>
          <w:p w14:paraId="6D876FE9" w14:textId="77777777" w:rsidR="000F69FB" w:rsidRPr="003A2270" w:rsidRDefault="000F69FB" w:rsidP="000F69FB">
            <w:pPr>
              <w:pStyle w:val="Table"/>
              <w:ind w:firstLine="0"/>
            </w:pPr>
            <w:r w:rsidRPr="003A2270">
              <w:t>0.053</w:t>
            </w:r>
          </w:p>
          <w:p w14:paraId="7FDD2048" w14:textId="77777777" w:rsidR="000F69FB" w:rsidRPr="003A2270" w:rsidRDefault="000F69FB" w:rsidP="000F69FB">
            <w:pPr>
              <w:pStyle w:val="Table"/>
              <w:ind w:firstLine="0"/>
            </w:pPr>
            <w:r w:rsidRPr="003A2270">
              <w:t>0.309</w:t>
            </w:r>
          </w:p>
          <w:p w14:paraId="612C54A1" w14:textId="77777777" w:rsidR="000F69FB" w:rsidRPr="00937B22" w:rsidRDefault="000F69FB" w:rsidP="000F69FB">
            <w:pPr>
              <w:pStyle w:val="Table"/>
              <w:ind w:firstLine="0"/>
              <w:rPr>
                <w:u w:val="single"/>
              </w:rPr>
            </w:pPr>
            <w:r w:rsidRPr="00937B22">
              <w:rPr>
                <w:u w:val="single"/>
              </w:rPr>
              <w:t>&lt;0.05</w:t>
            </w:r>
          </w:p>
        </w:tc>
      </w:tr>
      <w:tr w:rsidR="000F69FB" w:rsidRPr="003A2270" w14:paraId="677D26AC" w14:textId="77777777" w:rsidTr="000C26DE">
        <w:trPr>
          <w:jc w:val="center"/>
        </w:trPr>
        <w:tc>
          <w:tcPr>
            <w:tcW w:w="1350" w:type="dxa"/>
          </w:tcPr>
          <w:p w14:paraId="271CE6B0" w14:textId="77777777" w:rsidR="000F69FB" w:rsidRPr="005F7FF0" w:rsidRDefault="000F69FB" w:rsidP="000F69FB">
            <w:pPr>
              <w:pStyle w:val="Table"/>
              <w:ind w:firstLine="0"/>
            </w:pPr>
            <w:r w:rsidRPr="005F7FF0">
              <w:t>P2</w:t>
            </w:r>
          </w:p>
        </w:tc>
        <w:tc>
          <w:tcPr>
            <w:tcW w:w="1951" w:type="dxa"/>
          </w:tcPr>
          <w:p w14:paraId="1ACABE7D" w14:textId="77777777" w:rsidR="000F69FB" w:rsidRPr="003A2270" w:rsidRDefault="000F69FB" w:rsidP="000F69FB">
            <w:pPr>
              <w:pStyle w:val="Table"/>
              <w:ind w:firstLine="0"/>
            </w:pPr>
            <w:r w:rsidRPr="003A2270">
              <w:t>Group</w:t>
            </w:r>
          </w:p>
          <w:p w14:paraId="6EFA7F00" w14:textId="77777777" w:rsidR="000F69FB" w:rsidRPr="003A2270" w:rsidRDefault="000F69FB" w:rsidP="000F69FB">
            <w:pPr>
              <w:pStyle w:val="Table"/>
              <w:ind w:firstLine="0"/>
            </w:pPr>
            <w:r w:rsidRPr="003A2270">
              <w:t>ISI</w:t>
            </w:r>
          </w:p>
          <w:p w14:paraId="1AE708AE" w14:textId="77777777" w:rsidR="000F69FB" w:rsidRPr="003A2270" w:rsidRDefault="000F69FB" w:rsidP="000F69FB">
            <w:pPr>
              <w:pStyle w:val="Table"/>
              <w:ind w:firstLine="0"/>
            </w:pPr>
            <w:r w:rsidRPr="003A2270">
              <w:t>Side</w:t>
            </w:r>
          </w:p>
          <w:p w14:paraId="2C44C16C" w14:textId="77777777" w:rsidR="000F69FB" w:rsidRPr="003A2270" w:rsidRDefault="000F69FB" w:rsidP="000F69FB">
            <w:pPr>
              <w:pStyle w:val="Table"/>
              <w:ind w:firstLine="0"/>
            </w:pPr>
            <w:r w:rsidRPr="003A2270">
              <w:t>Group x ISI</w:t>
            </w:r>
          </w:p>
          <w:p w14:paraId="64BD0747" w14:textId="77777777" w:rsidR="000F69FB" w:rsidRPr="003A2270" w:rsidRDefault="000F69FB" w:rsidP="000F69FB">
            <w:pPr>
              <w:pStyle w:val="Table"/>
              <w:ind w:firstLine="0"/>
            </w:pPr>
            <w:r w:rsidRPr="003A2270">
              <w:t>Group x Side</w:t>
            </w:r>
          </w:p>
          <w:p w14:paraId="42CD0DBA" w14:textId="77777777" w:rsidR="000F69FB" w:rsidRPr="003A2270" w:rsidRDefault="000F69FB" w:rsidP="000F69FB">
            <w:pPr>
              <w:pStyle w:val="Table"/>
              <w:ind w:firstLine="0"/>
            </w:pPr>
            <w:r w:rsidRPr="003A2270">
              <w:t>Condition x Side</w:t>
            </w:r>
          </w:p>
          <w:p w14:paraId="4F9477BB" w14:textId="77777777" w:rsidR="000F69FB" w:rsidRPr="003A2270" w:rsidRDefault="000F69FB" w:rsidP="000F69FB">
            <w:pPr>
              <w:pStyle w:val="Table"/>
              <w:ind w:firstLine="0"/>
            </w:pPr>
            <w:r w:rsidRPr="003A2270">
              <w:t>Group x ISI x Side</w:t>
            </w:r>
          </w:p>
        </w:tc>
        <w:tc>
          <w:tcPr>
            <w:tcW w:w="717" w:type="dxa"/>
          </w:tcPr>
          <w:p w14:paraId="0DC20EA3" w14:textId="77777777" w:rsidR="000F69FB" w:rsidRPr="003A2270" w:rsidRDefault="000F69FB" w:rsidP="000F69FB">
            <w:pPr>
              <w:pStyle w:val="Table"/>
              <w:ind w:firstLine="0"/>
            </w:pPr>
            <w:r w:rsidRPr="003A2270">
              <w:t>1, 35</w:t>
            </w:r>
          </w:p>
          <w:p w14:paraId="68B8448D" w14:textId="77777777" w:rsidR="000F69FB" w:rsidRPr="003A2270" w:rsidRDefault="000F69FB" w:rsidP="000F69FB">
            <w:pPr>
              <w:pStyle w:val="Table"/>
              <w:ind w:firstLine="0"/>
            </w:pPr>
            <w:r w:rsidRPr="003A2270">
              <w:t>1, 35</w:t>
            </w:r>
          </w:p>
          <w:p w14:paraId="002ABE0D" w14:textId="77777777" w:rsidR="000F69FB" w:rsidRPr="003A2270" w:rsidRDefault="000F69FB" w:rsidP="000F69FB">
            <w:pPr>
              <w:pStyle w:val="Table"/>
              <w:ind w:firstLine="0"/>
            </w:pPr>
            <w:r w:rsidRPr="003A2270">
              <w:t>1, 35</w:t>
            </w:r>
          </w:p>
          <w:p w14:paraId="02C9B0A0" w14:textId="77777777" w:rsidR="000F69FB" w:rsidRPr="003A2270" w:rsidRDefault="000F69FB" w:rsidP="000F69FB">
            <w:pPr>
              <w:pStyle w:val="Table"/>
              <w:ind w:firstLine="0"/>
            </w:pPr>
            <w:r w:rsidRPr="003A2270">
              <w:t>1, 35</w:t>
            </w:r>
          </w:p>
          <w:p w14:paraId="0E898A93" w14:textId="77777777" w:rsidR="000F69FB" w:rsidRPr="003A2270" w:rsidRDefault="000F69FB" w:rsidP="000F69FB">
            <w:pPr>
              <w:pStyle w:val="Table"/>
              <w:ind w:firstLine="0"/>
            </w:pPr>
            <w:r w:rsidRPr="003A2270">
              <w:t>1, 35</w:t>
            </w:r>
          </w:p>
          <w:p w14:paraId="4D95DDD7" w14:textId="77777777" w:rsidR="000F69FB" w:rsidRPr="003A2270" w:rsidRDefault="000F69FB" w:rsidP="000F69FB">
            <w:pPr>
              <w:pStyle w:val="Table"/>
              <w:ind w:firstLine="0"/>
            </w:pPr>
            <w:r w:rsidRPr="003A2270">
              <w:t>1, 35</w:t>
            </w:r>
          </w:p>
          <w:p w14:paraId="096C60C1" w14:textId="77777777" w:rsidR="000F69FB" w:rsidRPr="003A2270" w:rsidRDefault="000F69FB" w:rsidP="000F69FB">
            <w:pPr>
              <w:pStyle w:val="Table"/>
              <w:ind w:firstLine="0"/>
            </w:pPr>
            <w:r w:rsidRPr="003A2270">
              <w:t>1, 35</w:t>
            </w:r>
          </w:p>
        </w:tc>
        <w:tc>
          <w:tcPr>
            <w:tcW w:w="984" w:type="dxa"/>
          </w:tcPr>
          <w:p w14:paraId="1DC88D9A" w14:textId="77777777" w:rsidR="000F69FB" w:rsidRPr="003A2270" w:rsidRDefault="000F69FB" w:rsidP="000F69FB">
            <w:pPr>
              <w:pStyle w:val="Table"/>
              <w:ind w:firstLine="0"/>
            </w:pPr>
            <w:r w:rsidRPr="003A2270">
              <w:t>0.264</w:t>
            </w:r>
          </w:p>
          <w:p w14:paraId="31ED1D58" w14:textId="77777777" w:rsidR="000F69FB" w:rsidRPr="003A2270" w:rsidRDefault="000F69FB" w:rsidP="000F69FB">
            <w:pPr>
              <w:pStyle w:val="Table"/>
              <w:ind w:firstLine="0"/>
            </w:pPr>
            <w:r w:rsidRPr="003A2270">
              <w:t>1.184</w:t>
            </w:r>
          </w:p>
          <w:p w14:paraId="708B8EFC" w14:textId="77777777" w:rsidR="000F69FB" w:rsidRPr="003A2270" w:rsidRDefault="000F69FB" w:rsidP="000F69FB">
            <w:pPr>
              <w:pStyle w:val="Table"/>
              <w:ind w:firstLine="0"/>
            </w:pPr>
            <w:r w:rsidRPr="003A2270">
              <w:t>1.222</w:t>
            </w:r>
          </w:p>
          <w:p w14:paraId="34F94778" w14:textId="77777777" w:rsidR="000F69FB" w:rsidRPr="003A2270" w:rsidRDefault="000F69FB" w:rsidP="000F69FB">
            <w:pPr>
              <w:pStyle w:val="Table"/>
              <w:ind w:firstLine="0"/>
            </w:pPr>
            <w:r w:rsidRPr="003A2270">
              <w:t>0.327</w:t>
            </w:r>
          </w:p>
          <w:p w14:paraId="5A378C0D" w14:textId="77777777" w:rsidR="000F69FB" w:rsidRPr="003A2270" w:rsidRDefault="000F69FB" w:rsidP="000F69FB">
            <w:pPr>
              <w:pStyle w:val="Table"/>
              <w:ind w:firstLine="0"/>
            </w:pPr>
            <w:r w:rsidRPr="003A2270">
              <w:t>0.302</w:t>
            </w:r>
          </w:p>
          <w:p w14:paraId="2004B72D" w14:textId="77777777" w:rsidR="000F69FB" w:rsidRPr="003A2270" w:rsidRDefault="000F69FB" w:rsidP="000F69FB">
            <w:pPr>
              <w:pStyle w:val="Table"/>
              <w:ind w:firstLine="0"/>
            </w:pPr>
            <w:r w:rsidRPr="003A2270">
              <w:t>0.003</w:t>
            </w:r>
          </w:p>
          <w:p w14:paraId="6FF3F4C3" w14:textId="77777777" w:rsidR="000F69FB" w:rsidRPr="003A2270" w:rsidRDefault="000F69FB" w:rsidP="000F69FB">
            <w:pPr>
              <w:pStyle w:val="Table"/>
              <w:ind w:firstLine="0"/>
            </w:pPr>
            <w:r w:rsidRPr="003A2270">
              <w:t>0.966</w:t>
            </w:r>
          </w:p>
        </w:tc>
        <w:tc>
          <w:tcPr>
            <w:tcW w:w="984" w:type="dxa"/>
          </w:tcPr>
          <w:p w14:paraId="7D01DE9D" w14:textId="77777777" w:rsidR="000F69FB" w:rsidRPr="003A2270" w:rsidRDefault="000F69FB" w:rsidP="000F69FB">
            <w:pPr>
              <w:pStyle w:val="Table"/>
              <w:ind w:firstLine="0"/>
            </w:pPr>
            <w:r w:rsidRPr="003A2270">
              <w:t>0.611</w:t>
            </w:r>
          </w:p>
          <w:p w14:paraId="4BC61DF4" w14:textId="77777777" w:rsidR="000F69FB" w:rsidRPr="003A2270" w:rsidRDefault="000F69FB" w:rsidP="000F69FB">
            <w:pPr>
              <w:pStyle w:val="Table"/>
              <w:ind w:firstLine="0"/>
            </w:pPr>
            <w:r w:rsidRPr="003A2270">
              <w:t>0.284</w:t>
            </w:r>
          </w:p>
          <w:p w14:paraId="0A77E94B" w14:textId="77777777" w:rsidR="000F69FB" w:rsidRPr="003A2270" w:rsidRDefault="000F69FB" w:rsidP="000F69FB">
            <w:pPr>
              <w:pStyle w:val="Table"/>
              <w:ind w:firstLine="0"/>
            </w:pPr>
            <w:r w:rsidRPr="003A2270">
              <w:t>0.277</w:t>
            </w:r>
          </w:p>
          <w:p w14:paraId="353D98F2" w14:textId="77777777" w:rsidR="000F69FB" w:rsidRPr="003A2270" w:rsidRDefault="000F69FB" w:rsidP="000F69FB">
            <w:pPr>
              <w:pStyle w:val="Table"/>
              <w:ind w:firstLine="0"/>
            </w:pPr>
            <w:r w:rsidRPr="003A2270">
              <w:t>0.571</w:t>
            </w:r>
          </w:p>
          <w:p w14:paraId="17214652" w14:textId="77777777" w:rsidR="000F69FB" w:rsidRPr="003A2270" w:rsidRDefault="000F69FB" w:rsidP="000F69FB">
            <w:pPr>
              <w:pStyle w:val="Table"/>
              <w:ind w:firstLine="0"/>
            </w:pPr>
            <w:r w:rsidRPr="003A2270">
              <w:t>0.586</w:t>
            </w:r>
          </w:p>
          <w:p w14:paraId="7293796C" w14:textId="77777777" w:rsidR="000F69FB" w:rsidRPr="003A2270" w:rsidRDefault="000F69FB" w:rsidP="000F69FB">
            <w:pPr>
              <w:pStyle w:val="Table"/>
              <w:ind w:firstLine="0"/>
            </w:pPr>
            <w:r w:rsidRPr="003A2270">
              <w:t>0.960</w:t>
            </w:r>
          </w:p>
          <w:p w14:paraId="1EA628EF" w14:textId="77777777" w:rsidR="000F69FB" w:rsidRPr="003A2270" w:rsidRDefault="000F69FB" w:rsidP="000F69FB">
            <w:pPr>
              <w:pStyle w:val="Table"/>
              <w:ind w:firstLine="0"/>
            </w:pPr>
            <w:r w:rsidRPr="003A2270">
              <w:t>0.333</w:t>
            </w:r>
          </w:p>
        </w:tc>
      </w:tr>
      <w:tr w:rsidR="000F69FB" w:rsidRPr="003A2270" w14:paraId="6E05E935" w14:textId="77777777" w:rsidTr="000C26DE">
        <w:trPr>
          <w:jc w:val="center"/>
        </w:trPr>
        <w:tc>
          <w:tcPr>
            <w:tcW w:w="1350" w:type="dxa"/>
          </w:tcPr>
          <w:p w14:paraId="47418A1F" w14:textId="77777777" w:rsidR="000F69FB" w:rsidRPr="005F7FF0" w:rsidRDefault="000F69FB" w:rsidP="000F69FB">
            <w:pPr>
              <w:pStyle w:val="Table"/>
              <w:ind w:firstLine="0"/>
            </w:pPr>
            <w:r w:rsidRPr="005F7FF0">
              <w:t>P2/2</w:t>
            </w:r>
          </w:p>
        </w:tc>
        <w:tc>
          <w:tcPr>
            <w:tcW w:w="1951" w:type="dxa"/>
          </w:tcPr>
          <w:p w14:paraId="385CA7D8" w14:textId="77777777" w:rsidR="000F69FB" w:rsidRPr="003A2270" w:rsidRDefault="000F69FB" w:rsidP="000F69FB">
            <w:pPr>
              <w:pStyle w:val="Table"/>
              <w:ind w:firstLine="0"/>
            </w:pPr>
            <w:r w:rsidRPr="003A2270">
              <w:t>Group</w:t>
            </w:r>
          </w:p>
          <w:p w14:paraId="559FE87A" w14:textId="77777777" w:rsidR="000F69FB" w:rsidRPr="003A2270" w:rsidRDefault="000F69FB" w:rsidP="000F69FB">
            <w:pPr>
              <w:pStyle w:val="Table"/>
              <w:ind w:firstLine="0"/>
            </w:pPr>
            <w:r w:rsidRPr="003A2270">
              <w:t>ISI</w:t>
            </w:r>
          </w:p>
          <w:p w14:paraId="72A67672" w14:textId="77777777" w:rsidR="000F69FB" w:rsidRPr="003A2270" w:rsidRDefault="000F69FB" w:rsidP="000F69FB">
            <w:pPr>
              <w:pStyle w:val="Table"/>
              <w:ind w:firstLine="0"/>
            </w:pPr>
            <w:r w:rsidRPr="003A2270">
              <w:t>Side</w:t>
            </w:r>
          </w:p>
          <w:p w14:paraId="771AE35B" w14:textId="77777777" w:rsidR="000F69FB" w:rsidRPr="003A2270" w:rsidRDefault="000F69FB" w:rsidP="000F69FB">
            <w:pPr>
              <w:pStyle w:val="Table"/>
              <w:ind w:firstLine="0"/>
            </w:pPr>
            <w:r w:rsidRPr="003A2270">
              <w:t>Group x ISI</w:t>
            </w:r>
          </w:p>
          <w:p w14:paraId="5D910248" w14:textId="77777777" w:rsidR="000F69FB" w:rsidRPr="003A2270" w:rsidRDefault="000F69FB" w:rsidP="000F69FB">
            <w:pPr>
              <w:pStyle w:val="Table"/>
              <w:ind w:firstLine="0"/>
            </w:pPr>
            <w:r w:rsidRPr="003A2270">
              <w:t>Group x Side</w:t>
            </w:r>
          </w:p>
          <w:p w14:paraId="1F117779" w14:textId="77777777" w:rsidR="000F69FB" w:rsidRPr="003A2270" w:rsidRDefault="000F69FB" w:rsidP="000F69FB">
            <w:pPr>
              <w:pStyle w:val="Table"/>
              <w:ind w:firstLine="0"/>
            </w:pPr>
            <w:r w:rsidRPr="003A2270">
              <w:t>Condition x Side</w:t>
            </w:r>
          </w:p>
          <w:p w14:paraId="7C212556" w14:textId="77777777" w:rsidR="000F69FB" w:rsidRPr="003A2270" w:rsidRDefault="000F69FB" w:rsidP="000F69FB">
            <w:pPr>
              <w:pStyle w:val="Table"/>
              <w:ind w:firstLine="0"/>
            </w:pPr>
            <w:r w:rsidRPr="003A2270">
              <w:t>Group x ISI x Side</w:t>
            </w:r>
          </w:p>
        </w:tc>
        <w:tc>
          <w:tcPr>
            <w:tcW w:w="717" w:type="dxa"/>
          </w:tcPr>
          <w:p w14:paraId="1EA23FEB" w14:textId="77777777" w:rsidR="000F69FB" w:rsidRPr="003A2270" w:rsidRDefault="000F69FB" w:rsidP="000F69FB">
            <w:pPr>
              <w:pStyle w:val="Table"/>
              <w:ind w:firstLine="0"/>
            </w:pPr>
            <w:r w:rsidRPr="003A2270">
              <w:t>1, 35</w:t>
            </w:r>
          </w:p>
          <w:p w14:paraId="517ACE98" w14:textId="77777777" w:rsidR="000F69FB" w:rsidRPr="003A2270" w:rsidRDefault="000F69FB" w:rsidP="000F69FB">
            <w:pPr>
              <w:pStyle w:val="Table"/>
              <w:ind w:firstLine="0"/>
            </w:pPr>
            <w:r w:rsidRPr="003A2270">
              <w:t>1, 35</w:t>
            </w:r>
          </w:p>
          <w:p w14:paraId="6F548E35" w14:textId="77777777" w:rsidR="000F69FB" w:rsidRPr="003A2270" w:rsidRDefault="000F69FB" w:rsidP="000F69FB">
            <w:pPr>
              <w:pStyle w:val="Table"/>
              <w:ind w:firstLine="0"/>
            </w:pPr>
            <w:r w:rsidRPr="003A2270">
              <w:t>1, 35</w:t>
            </w:r>
          </w:p>
          <w:p w14:paraId="19E08429" w14:textId="77777777" w:rsidR="000F69FB" w:rsidRPr="003A2270" w:rsidRDefault="000F69FB" w:rsidP="000F69FB">
            <w:pPr>
              <w:pStyle w:val="Table"/>
              <w:ind w:firstLine="0"/>
            </w:pPr>
            <w:r w:rsidRPr="003A2270">
              <w:t>1, 35</w:t>
            </w:r>
          </w:p>
          <w:p w14:paraId="553AEAF1" w14:textId="77777777" w:rsidR="000F69FB" w:rsidRPr="003A2270" w:rsidRDefault="000F69FB" w:rsidP="000F69FB">
            <w:pPr>
              <w:pStyle w:val="Table"/>
              <w:ind w:firstLine="0"/>
            </w:pPr>
            <w:r w:rsidRPr="003A2270">
              <w:t>1, 35</w:t>
            </w:r>
          </w:p>
          <w:p w14:paraId="5053F56B" w14:textId="77777777" w:rsidR="000F69FB" w:rsidRPr="003A2270" w:rsidRDefault="000F69FB" w:rsidP="000F69FB">
            <w:pPr>
              <w:pStyle w:val="Table"/>
              <w:ind w:firstLine="0"/>
            </w:pPr>
            <w:r w:rsidRPr="003A2270">
              <w:t>1, 35</w:t>
            </w:r>
          </w:p>
          <w:p w14:paraId="3FFAE9DB" w14:textId="77777777" w:rsidR="000F69FB" w:rsidRPr="003A2270" w:rsidRDefault="000F69FB" w:rsidP="000F69FB">
            <w:pPr>
              <w:pStyle w:val="Table"/>
              <w:ind w:firstLine="0"/>
            </w:pPr>
            <w:r w:rsidRPr="003A2270">
              <w:t>1, 35</w:t>
            </w:r>
          </w:p>
        </w:tc>
        <w:tc>
          <w:tcPr>
            <w:tcW w:w="984" w:type="dxa"/>
          </w:tcPr>
          <w:p w14:paraId="17EA4430" w14:textId="77777777" w:rsidR="000F69FB" w:rsidRPr="003A2270" w:rsidRDefault="000F69FB" w:rsidP="000F69FB">
            <w:pPr>
              <w:pStyle w:val="Table"/>
              <w:ind w:firstLine="0"/>
            </w:pPr>
            <w:r w:rsidRPr="003A2270">
              <w:t>0.228</w:t>
            </w:r>
          </w:p>
          <w:p w14:paraId="11469FCF" w14:textId="77777777" w:rsidR="000F69FB" w:rsidRPr="003A2270" w:rsidRDefault="000F69FB" w:rsidP="000F69FB">
            <w:pPr>
              <w:pStyle w:val="Table"/>
              <w:ind w:firstLine="0"/>
            </w:pPr>
            <w:r w:rsidRPr="003A2270">
              <w:t>1.315</w:t>
            </w:r>
          </w:p>
          <w:p w14:paraId="5D6D8EC8" w14:textId="77777777" w:rsidR="000F69FB" w:rsidRPr="003A2270" w:rsidRDefault="000F69FB" w:rsidP="000F69FB">
            <w:pPr>
              <w:pStyle w:val="Table"/>
              <w:ind w:firstLine="0"/>
            </w:pPr>
            <w:r w:rsidRPr="003A2270">
              <w:t>0.149</w:t>
            </w:r>
          </w:p>
          <w:p w14:paraId="4F0B6C8A" w14:textId="77777777" w:rsidR="000F69FB" w:rsidRPr="003A2270" w:rsidRDefault="000F69FB" w:rsidP="000F69FB">
            <w:pPr>
              <w:pStyle w:val="Table"/>
              <w:ind w:firstLine="0"/>
            </w:pPr>
            <w:r w:rsidRPr="003A2270">
              <w:t>0.138</w:t>
            </w:r>
          </w:p>
          <w:p w14:paraId="044FDAD4" w14:textId="77777777" w:rsidR="000F69FB" w:rsidRPr="003A2270" w:rsidRDefault="000F69FB" w:rsidP="000F69FB">
            <w:pPr>
              <w:pStyle w:val="Table"/>
              <w:ind w:firstLine="0"/>
            </w:pPr>
            <w:r w:rsidRPr="003A2270">
              <w:t>0.605</w:t>
            </w:r>
          </w:p>
          <w:p w14:paraId="068AB1B0" w14:textId="77777777" w:rsidR="000F69FB" w:rsidRPr="003A2270" w:rsidRDefault="000F69FB" w:rsidP="000F69FB">
            <w:pPr>
              <w:pStyle w:val="Table"/>
              <w:ind w:firstLine="0"/>
            </w:pPr>
            <w:r w:rsidRPr="003A2270">
              <w:t>2.152</w:t>
            </w:r>
          </w:p>
          <w:p w14:paraId="11CF6908" w14:textId="77777777" w:rsidR="000F69FB" w:rsidRPr="003A2270" w:rsidRDefault="000F69FB" w:rsidP="000F69FB">
            <w:pPr>
              <w:pStyle w:val="Table"/>
              <w:ind w:firstLine="0"/>
            </w:pPr>
            <w:r w:rsidRPr="003A2270">
              <w:t>0.760</w:t>
            </w:r>
          </w:p>
        </w:tc>
        <w:tc>
          <w:tcPr>
            <w:tcW w:w="984" w:type="dxa"/>
          </w:tcPr>
          <w:p w14:paraId="5CFD254E" w14:textId="77777777" w:rsidR="000F69FB" w:rsidRPr="003A2270" w:rsidRDefault="000F69FB" w:rsidP="000F69FB">
            <w:pPr>
              <w:pStyle w:val="Table"/>
              <w:ind w:firstLine="0"/>
            </w:pPr>
            <w:r w:rsidRPr="003A2270">
              <w:t>0.636</w:t>
            </w:r>
          </w:p>
          <w:p w14:paraId="768D1386" w14:textId="77777777" w:rsidR="000F69FB" w:rsidRPr="003A2270" w:rsidRDefault="000F69FB" w:rsidP="000F69FB">
            <w:pPr>
              <w:pStyle w:val="Table"/>
              <w:ind w:firstLine="0"/>
            </w:pPr>
            <w:r w:rsidRPr="003A2270">
              <w:t>0.259</w:t>
            </w:r>
          </w:p>
          <w:p w14:paraId="1D32F4FE" w14:textId="77777777" w:rsidR="000F69FB" w:rsidRPr="003A2270" w:rsidRDefault="000F69FB" w:rsidP="000F69FB">
            <w:pPr>
              <w:pStyle w:val="Table"/>
              <w:ind w:firstLine="0"/>
            </w:pPr>
            <w:r w:rsidRPr="003A2270">
              <w:t>0.702</w:t>
            </w:r>
          </w:p>
          <w:p w14:paraId="46ED6ABF" w14:textId="77777777" w:rsidR="000F69FB" w:rsidRPr="003A2270" w:rsidRDefault="000F69FB" w:rsidP="000F69FB">
            <w:pPr>
              <w:pStyle w:val="Table"/>
              <w:ind w:firstLine="0"/>
            </w:pPr>
            <w:r w:rsidRPr="003A2270">
              <w:t>0.713</w:t>
            </w:r>
          </w:p>
          <w:p w14:paraId="1D24FD40" w14:textId="77777777" w:rsidR="000F69FB" w:rsidRPr="003A2270" w:rsidRDefault="000F69FB" w:rsidP="000F69FB">
            <w:pPr>
              <w:pStyle w:val="Table"/>
              <w:ind w:firstLine="0"/>
            </w:pPr>
            <w:r w:rsidRPr="003A2270">
              <w:t>0.442</w:t>
            </w:r>
          </w:p>
          <w:p w14:paraId="2F144E40" w14:textId="77777777" w:rsidR="000F69FB" w:rsidRPr="003A2270" w:rsidRDefault="000F69FB" w:rsidP="000F69FB">
            <w:pPr>
              <w:pStyle w:val="Table"/>
              <w:ind w:firstLine="0"/>
            </w:pPr>
            <w:r w:rsidRPr="003A2270">
              <w:t>0.151</w:t>
            </w:r>
          </w:p>
          <w:p w14:paraId="390ACA76" w14:textId="77777777" w:rsidR="000F69FB" w:rsidRPr="003A2270" w:rsidRDefault="000F69FB" w:rsidP="000F69FB">
            <w:pPr>
              <w:pStyle w:val="Table"/>
              <w:ind w:firstLine="0"/>
            </w:pPr>
            <w:r w:rsidRPr="003A2270">
              <w:t>0.389</w:t>
            </w:r>
          </w:p>
        </w:tc>
      </w:tr>
    </w:tbl>
    <w:p w14:paraId="73D07602" w14:textId="5F53BEA7" w:rsidR="000F69FB" w:rsidRDefault="000F69FB" w:rsidP="007243BF">
      <w:pPr>
        <w:pStyle w:val="FigureLegend"/>
      </w:pPr>
      <w:bookmarkStart w:id="23" w:name="_Toc408487679"/>
      <w:bookmarkStart w:id="24" w:name="_Toc409012772"/>
      <w:bookmarkStart w:id="25" w:name="_Toc409016014"/>
      <w:bookmarkStart w:id="26" w:name="_Toc409082429"/>
      <w:r w:rsidRPr="00A0341C">
        <w:rPr>
          <w:rStyle w:val="FigureLegendBOLDChar"/>
        </w:rPr>
        <w:t xml:space="preserve">Table </w:t>
      </w:r>
      <w:r w:rsidR="00170B20" w:rsidRPr="00A0341C">
        <w:rPr>
          <w:rStyle w:val="FigureLegendBOLDChar"/>
        </w:rPr>
        <w:t>A</w:t>
      </w:r>
      <w:r w:rsidRPr="00A0341C">
        <w:rPr>
          <w:rStyle w:val="FigureLegendBOLDChar"/>
        </w:rPr>
        <w:t>. P50 amplitude test-conditioning stimulus gating ratios analysis using mixed model 3-way ANOVA</w:t>
      </w:r>
      <w:r w:rsidRPr="003A2270">
        <w:t>. Key: Group, dexamethasone treatment group; ISI, interstimulus interval condition (500 ms vs. 250 ms); Side, recording side. Significant differences are underlined.</w:t>
      </w:r>
      <w:bookmarkEnd w:id="23"/>
      <w:bookmarkEnd w:id="24"/>
      <w:bookmarkEnd w:id="25"/>
      <w:bookmarkEnd w:id="26"/>
    </w:p>
    <w:p w14:paraId="1F4C3053" w14:textId="77777777" w:rsidR="00F9500A" w:rsidRDefault="00F9500A" w:rsidP="007243BF">
      <w:pPr>
        <w:pStyle w:val="FigureLegend"/>
      </w:pPr>
    </w:p>
    <w:p w14:paraId="48E6B4E5" w14:textId="77777777" w:rsidR="00F9500A" w:rsidRDefault="00F9500A" w:rsidP="007243BF">
      <w:pPr>
        <w:pStyle w:val="FigureLegend"/>
      </w:pPr>
    </w:p>
    <w:p w14:paraId="55B69FBD" w14:textId="77777777" w:rsidR="00F9500A" w:rsidRDefault="00F9500A" w:rsidP="007243BF">
      <w:pPr>
        <w:pStyle w:val="FigureLegend"/>
      </w:pPr>
    </w:p>
    <w:p w14:paraId="5A1AFABD" w14:textId="77777777" w:rsidR="00F9500A" w:rsidRDefault="00F9500A" w:rsidP="007243BF">
      <w:pPr>
        <w:pStyle w:val="FigureLegend"/>
      </w:pPr>
    </w:p>
    <w:p w14:paraId="5811FFC6" w14:textId="77777777" w:rsidR="00F9500A" w:rsidRDefault="00F9500A" w:rsidP="007243BF">
      <w:pPr>
        <w:pStyle w:val="FigureLegend"/>
      </w:pPr>
    </w:p>
    <w:p w14:paraId="458E23F9" w14:textId="77777777" w:rsidR="00F9500A" w:rsidRDefault="00F9500A" w:rsidP="007243BF">
      <w:pPr>
        <w:pStyle w:val="FigureLegend"/>
      </w:pPr>
    </w:p>
    <w:p w14:paraId="7906E783" w14:textId="77777777" w:rsidR="00F9500A" w:rsidRDefault="00F9500A" w:rsidP="007243BF">
      <w:pPr>
        <w:pStyle w:val="FigureLegend"/>
      </w:pPr>
    </w:p>
    <w:p w14:paraId="18EC878D" w14:textId="77777777" w:rsidR="00F9500A" w:rsidRDefault="00F9500A" w:rsidP="007243BF">
      <w:pPr>
        <w:pStyle w:val="FigureLegend"/>
      </w:pPr>
    </w:p>
    <w:p w14:paraId="4518E28C" w14:textId="77777777" w:rsidR="00F9500A" w:rsidRDefault="00F9500A" w:rsidP="007243BF">
      <w:pPr>
        <w:pStyle w:val="FigureLegend"/>
      </w:pPr>
    </w:p>
    <w:p w14:paraId="66B7E2C8" w14:textId="77777777" w:rsidR="00F9500A" w:rsidRDefault="00F9500A" w:rsidP="007243BF">
      <w:pPr>
        <w:pStyle w:val="FigureLegend"/>
      </w:pPr>
    </w:p>
    <w:p w14:paraId="37840F43" w14:textId="77777777" w:rsidR="00F9500A" w:rsidRDefault="00F9500A" w:rsidP="007243BF">
      <w:pPr>
        <w:pStyle w:val="FigureLegend"/>
      </w:pPr>
    </w:p>
    <w:p w14:paraId="604A59CD" w14:textId="77777777" w:rsidR="00F9500A" w:rsidRDefault="00F9500A" w:rsidP="007243BF">
      <w:pPr>
        <w:pStyle w:val="FigureLegend"/>
      </w:pPr>
    </w:p>
    <w:p w14:paraId="1F63ECDC" w14:textId="7F0D5319" w:rsidR="00F9500A" w:rsidRPr="00CA5786" w:rsidRDefault="00F9500A" w:rsidP="00CA5786">
      <w:pPr>
        <w:pStyle w:val="Heading3"/>
        <w:rPr>
          <w:lang w:val="en-US" w:eastAsia="en-AU" w:bidi="en-US"/>
        </w:rPr>
      </w:pPr>
      <w:r>
        <w:rPr>
          <w:lang w:val="en-US" w:eastAsia="en-AU" w:bidi="en-US"/>
        </w:rPr>
        <w:lastRenderedPageBreak/>
        <w:t>S.</w:t>
      </w:r>
      <w:r w:rsidR="00170B20">
        <w:rPr>
          <w:lang w:val="en-US" w:eastAsia="en-AU" w:bidi="en-US"/>
        </w:rPr>
        <w:t>2</w:t>
      </w:r>
      <w:r>
        <w:rPr>
          <w:lang w:val="en-US" w:eastAsia="en-AU" w:bidi="en-US"/>
        </w:rPr>
        <w:t>.</w:t>
      </w:r>
      <w:r w:rsidR="00170B20">
        <w:rPr>
          <w:lang w:val="en-US" w:eastAsia="en-AU" w:bidi="en-US"/>
        </w:rPr>
        <w:t>7</w:t>
      </w:r>
      <w:r>
        <w:rPr>
          <w:lang w:val="en-US" w:eastAsia="en-AU" w:bidi="en-US"/>
        </w:rPr>
        <w:t xml:space="preserve"> Auditory Steady-State Response</w:t>
      </w:r>
      <w:r w:rsidR="00170B20">
        <w:rPr>
          <w:lang w:val="en-US" w:eastAsia="en-AU" w:bidi="en-US"/>
        </w:rPr>
        <w:t xml:space="preserve"> Statistics</w:t>
      </w:r>
    </w:p>
    <w:tbl>
      <w:tblPr>
        <w:tblStyle w:val="TableGrid"/>
        <w:tblW w:w="0" w:type="auto"/>
        <w:jc w:val="center"/>
        <w:tblLook w:val="04A0" w:firstRow="1" w:lastRow="0" w:firstColumn="1" w:lastColumn="0" w:noHBand="0" w:noVBand="1"/>
      </w:tblPr>
      <w:tblGrid>
        <w:gridCol w:w="1788"/>
        <w:gridCol w:w="1846"/>
        <w:gridCol w:w="795"/>
        <w:gridCol w:w="1261"/>
        <w:gridCol w:w="884"/>
        <w:gridCol w:w="984"/>
        <w:gridCol w:w="945"/>
      </w:tblGrid>
      <w:tr w:rsidR="000F69FB" w:rsidRPr="003A2270" w14:paraId="1CB52AC7" w14:textId="77777777" w:rsidTr="000C26DE">
        <w:trPr>
          <w:jc w:val="center"/>
        </w:trPr>
        <w:tc>
          <w:tcPr>
            <w:tcW w:w="1788" w:type="dxa"/>
          </w:tcPr>
          <w:p w14:paraId="5782702A" w14:textId="77777777" w:rsidR="000F69FB" w:rsidRPr="004C5F1A" w:rsidRDefault="000F69FB" w:rsidP="000F69FB">
            <w:pPr>
              <w:pStyle w:val="Table"/>
              <w:ind w:firstLine="0"/>
              <w:rPr>
                <w:i/>
              </w:rPr>
            </w:pPr>
            <w:r w:rsidRPr="004C5F1A">
              <w:t>ASSR Stimulus Measure</w:t>
            </w:r>
          </w:p>
        </w:tc>
        <w:tc>
          <w:tcPr>
            <w:tcW w:w="1846" w:type="dxa"/>
          </w:tcPr>
          <w:p w14:paraId="4215D698" w14:textId="77777777" w:rsidR="000F69FB" w:rsidRPr="004C5F1A" w:rsidRDefault="000F69FB" w:rsidP="000F69FB">
            <w:pPr>
              <w:pStyle w:val="Table"/>
              <w:ind w:firstLine="0"/>
            </w:pPr>
            <w:r w:rsidRPr="004C5F1A">
              <w:t>Stimulus Rate</w:t>
            </w:r>
          </w:p>
        </w:tc>
        <w:tc>
          <w:tcPr>
            <w:tcW w:w="795" w:type="dxa"/>
          </w:tcPr>
          <w:p w14:paraId="5AD66F2B" w14:textId="77777777" w:rsidR="000F69FB" w:rsidRPr="004C5F1A" w:rsidRDefault="000F69FB" w:rsidP="000F69FB">
            <w:pPr>
              <w:pStyle w:val="Table"/>
              <w:ind w:firstLine="0"/>
            </w:pPr>
            <w:r w:rsidRPr="004C5F1A">
              <w:t>Side</w:t>
            </w:r>
          </w:p>
        </w:tc>
        <w:tc>
          <w:tcPr>
            <w:tcW w:w="1261" w:type="dxa"/>
          </w:tcPr>
          <w:p w14:paraId="6F739850" w14:textId="77777777" w:rsidR="000F69FB" w:rsidRPr="004C5F1A" w:rsidRDefault="000F69FB" w:rsidP="000F69FB">
            <w:pPr>
              <w:pStyle w:val="Table"/>
              <w:ind w:firstLine="0"/>
            </w:pPr>
            <w:r w:rsidRPr="004C5F1A">
              <w:t>Parameter</w:t>
            </w:r>
          </w:p>
        </w:tc>
        <w:tc>
          <w:tcPr>
            <w:tcW w:w="884" w:type="dxa"/>
          </w:tcPr>
          <w:p w14:paraId="40A73125" w14:textId="77777777" w:rsidR="000F69FB" w:rsidRPr="004C5F1A" w:rsidRDefault="000F69FB" w:rsidP="000F69FB">
            <w:pPr>
              <w:pStyle w:val="Table"/>
              <w:ind w:firstLine="0"/>
            </w:pPr>
            <w:r w:rsidRPr="004C5F1A">
              <w:t>df</w:t>
            </w:r>
          </w:p>
        </w:tc>
        <w:tc>
          <w:tcPr>
            <w:tcW w:w="984" w:type="dxa"/>
          </w:tcPr>
          <w:p w14:paraId="69152A7C" w14:textId="77777777" w:rsidR="000F69FB" w:rsidRPr="004C5F1A" w:rsidRDefault="000F69FB" w:rsidP="000F69FB">
            <w:pPr>
              <w:pStyle w:val="Table"/>
              <w:ind w:firstLine="0"/>
            </w:pPr>
            <w:r w:rsidRPr="004C5F1A">
              <w:t>F-value</w:t>
            </w:r>
          </w:p>
        </w:tc>
        <w:tc>
          <w:tcPr>
            <w:tcW w:w="945" w:type="dxa"/>
          </w:tcPr>
          <w:p w14:paraId="6C0BD347" w14:textId="77777777" w:rsidR="000F69FB" w:rsidRPr="004C5F1A" w:rsidRDefault="000F69FB" w:rsidP="000F69FB">
            <w:pPr>
              <w:pStyle w:val="Table"/>
              <w:ind w:firstLine="0"/>
            </w:pPr>
            <w:r w:rsidRPr="004C5F1A">
              <w:t>p-value</w:t>
            </w:r>
          </w:p>
        </w:tc>
      </w:tr>
      <w:tr w:rsidR="000F69FB" w:rsidRPr="003A2270" w14:paraId="4CA39E05" w14:textId="77777777" w:rsidTr="000C26DE">
        <w:trPr>
          <w:trHeight w:val="155"/>
          <w:jc w:val="center"/>
        </w:trPr>
        <w:tc>
          <w:tcPr>
            <w:tcW w:w="1788" w:type="dxa"/>
            <w:vMerge w:val="restart"/>
          </w:tcPr>
          <w:p w14:paraId="6D36E1FE" w14:textId="77777777" w:rsidR="000F69FB" w:rsidRPr="004C5F1A" w:rsidRDefault="000F69FB" w:rsidP="000F69FB">
            <w:pPr>
              <w:pStyle w:val="Table"/>
              <w:ind w:firstLine="0"/>
            </w:pPr>
            <w:r w:rsidRPr="004C5F1A">
              <w:t>Evoked Trial Power</w:t>
            </w:r>
          </w:p>
        </w:tc>
        <w:tc>
          <w:tcPr>
            <w:tcW w:w="1846" w:type="dxa"/>
            <w:vMerge w:val="restart"/>
          </w:tcPr>
          <w:p w14:paraId="6D88B4F9" w14:textId="77777777" w:rsidR="000F69FB" w:rsidRPr="003A2270" w:rsidRDefault="000F69FB" w:rsidP="000F69FB">
            <w:pPr>
              <w:pStyle w:val="Table"/>
              <w:ind w:firstLine="0"/>
            </w:pPr>
            <w:r w:rsidRPr="003A2270">
              <w:t>20 Hz</w:t>
            </w:r>
          </w:p>
        </w:tc>
        <w:tc>
          <w:tcPr>
            <w:tcW w:w="795" w:type="dxa"/>
            <w:vMerge w:val="restart"/>
          </w:tcPr>
          <w:p w14:paraId="30939D48" w14:textId="77777777" w:rsidR="000F69FB" w:rsidRPr="003A2270" w:rsidRDefault="000F69FB" w:rsidP="000F69FB">
            <w:pPr>
              <w:pStyle w:val="Table"/>
              <w:ind w:firstLine="0"/>
            </w:pPr>
            <w:r w:rsidRPr="003A2270">
              <w:t>Left</w:t>
            </w:r>
          </w:p>
        </w:tc>
        <w:tc>
          <w:tcPr>
            <w:tcW w:w="1261" w:type="dxa"/>
          </w:tcPr>
          <w:p w14:paraId="2A05B17E" w14:textId="77777777" w:rsidR="000F69FB" w:rsidRPr="003A2270" w:rsidRDefault="000F69FB" w:rsidP="000F69FB">
            <w:pPr>
              <w:pStyle w:val="Table"/>
              <w:ind w:firstLine="0"/>
            </w:pPr>
            <w:r w:rsidRPr="003A2270">
              <w:t>Slope</w:t>
            </w:r>
          </w:p>
        </w:tc>
        <w:tc>
          <w:tcPr>
            <w:tcW w:w="884" w:type="dxa"/>
          </w:tcPr>
          <w:p w14:paraId="3776FC8D" w14:textId="77777777" w:rsidR="000F69FB" w:rsidRPr="003A2270" w:rsidRDefault="000F69FB" w:rsidP="000F69FB">
            <w:pPr>
              <w:pStyle w:val="Table"/>
              <w:ind w:firstLine="0"/>
            </w:pPr>
            <w:r w:rsidRPr="003A2270">
              <w:t>1, 176</w:t>
            </w:r>
          </w:p>
        </w:tc>
        <w:tc>
          <w:tcPr>
            <w:tcW w:w="984" w:type="dxa"/>
          </w:tcPr>
          <w:p w14:paraId="6AC37587" w14:textId="77777777" w:rsidR="000F69FB" w:rsidRPr="003A2270" w:rsidRDefault="000F69FB" w:rsidP="000F69FB">
            <w:pPr>
              <w:pStyle w:val="Table"/>
              <w:ind w:firstLine="0"/>
            </w:pPr>
            <w:r w:rsidRPr="003A2270">
              <w:t>0.206</w:t>
            </w:r>
          </w:p>
        </w:tc>
        <w:tc>
          <w:tcPr>
            <w:tcW w:w="945" w:type="dxa"/>
          </w:tcPr>
          <w:p w14:paraId="6780A0BF" w14:textId="77777777" w:rsidR="000F69FB" w:rsidRPr="003A2270" w:rsidRDefault="000F69FB" w:rsidP="000F69FB">
            <w:pPr>
              <w:pStyle w:val="Table"/>
              <w:ind w:firstLine="0"/>
            </w:pPr>
            <w:r w:rsidRPr="003A2270">
              <w:t>0.650</w:t>
            </w:r>
          </w:p>
        </w:tc>
      </w:tr>
      <w:tr w:rsidR="000F69FB" w:rsidRPr="003A2270" w14:paraId="0FEC94E9" w14:textId="77777777" w:rsidTr="000C26DE">
        <w:trPr>
          <w:trHeight w:val="155"/>
          <w:jc w:val="center"/>
        </w:trPr>
        <w:tc>
          <w:tcPr>
            <w:tcW w:w="1788" w:type="dxa"/>
            <w:vMerge/>
          </w:tcPr>
          <w:p w14:paraId="3BF20F77" w14:textId="77777777" w:rsidR="000F69FB" w:rsidRPr="004C5F1A" w:rsidRDefault="000F69FB" w:rsidP="000F69FB">
            <w:pPr>
              <w:pStyle w:val="Table"/>
              <w:ind w:firstLine="0"/>
            </w:pPr>
          </w:p>
        </w:tc>
        <w:tc>
          <w:tcPr>
            <w:tcW w:w="1846" w:type="dxa"/>
            <w:vMerge/>
          </w:tcPr>
          <w:p w14:paraId="5048266A" w14:textId="77777777" w:rsidR="000F69FB" w:rsidRPr="003A2270" w:rsidRDefault="000F69FB" w:rsidP="000F69FB">
            <w:pPr>
              <w:pStyle w:val="Table"/>
              <w:ind w:firstLine="0"/>
            </w:pPr>
          </w:p>
        </w:tc>
        <w:tc>
          <w:tcPr>
            <w:tcW w:w="795" w:type="dxa"/>
            <w:vMerge/>
          </w:tcPr>
          <w:p w14:paraId="7AF696B5" w14:textId="77777777" w:rsidR="000F69FB" w:rsidRPr="003A2270" w:rsidRDefault="000F69FB" w:rsidP="000F69FB">
            <w:pPr>
              <w:pStyle w:val="Table"/>
              <w:ind w:firstLine="0"/>
            </w:pPr>
          </w:p>
        </w:tc>
        <w:tc>
          <w:tcPr>
            <w:tcW w:w="1261" w:type="dxa"/>
          </w:tcPr>
          <w:p w14:paraId="610094AA" w14:textId="77777777" w:rsidR="000F69FB" w:rsidRPr="003A2270" w:rsidRDefault="000F69FB" w:rsidP="000F69FB">
            <w:pPr>
              <w:pStyle w:val="Table"/>
              <w:ind w:firstLine="0"/>
            </w:pPr>
            <w:r w:rsidRPr="003A2270">
              <w:t>Intercept</w:t>
            </w:r>
          </w:p>
        </w:tc>
        <w:tc>
          <w:tcPr>
            <w:tcW w:w="884" w:type="dxa"/>
          </w:tcPr>
          <w:p w14:paraId="6E5421C9" w14:textId="77777777" w:rsidR="000F69FB" w:rsidRPr="003A2270" w:rsidRDefault="000F69FB" w:rsidP="000F69FB">
            <w:pPr>
              <w:pStyle w:val="Table"/>
              <w:ind w:firstLine="0"/>
            </w:pPr>
            <w:r w:rsidRPr="003A2270">
              <w:t>1, 177</w:t>
            </w:r>
          </w:p>
        </w:tc>
        <w:tc>
          <w:tcPr>
            <w:tcW w:w="984" w:type="dxa"/>
          </w:tcPr>
          <w:p w14:paraId="2CA108AB" w14:textId="77777777" w:rsidR="000F69FB" w:rsidRPr="003A2270" w:rsidRDefault="000F69FB" w:rsidP="000F69FB">
            <w:pPr>
              <w:pStyle w:val="Table"/>
              <w:ind w:firstLine="0"/>
            </w:pPr>
            <w:r w:rsidRPr="003A2270">
              <w:t>16.303</w:t>
            </w:r>
          </w:p>
        </w:tc>
        <w:tc>
          <w:tcPr>
            <w:tcW w:w="945" w:type="dxa"/>
          </w:tcPr>
          <w:p w14:paraId="38D64A49" w14:textId="77777777" w:rsidR="000F69FB" w:rsidRPr="0086576C" w:rsidRDefault="000F69FB" w:rsidP="000F69FB">
            <w:pPr>
              <w:pStyle w:val="Table"/>
              <w:ind w:firstLine="0"/>
              <w:rPr>
                <w:u w:val="single"/>
              </w:rPr>
            </w:pPr>
            <w:r w:rsidRPr="0086576C">
              <w:rPr>
                <w:u w:val="single"/>
              </w:rPr>
              <w:t>&lt;0.0001</w:t>
            </w:r>
          </w:p>
        </w:tc>
      </w:tr>
      <w:tr w:rsidR="000F69FB" w:rsidRPr="003A2270" w14:paraId="5C9CF9B7" w14:textId="77777777" w:rsidTr="000C26DE">
        <w:trPr>
          <w:trHeight w:val="155"/>
          <w:jc w:val="center"/>
        </w:trPr>
        <w:tc>
          <w:tcPr>
            <w:tcW w:w="1788" w:type="dxa"/>
            <w:vMerge/>
          </w:tcPr>
          <w:p w14:paraId="02195F94" w14:textId="77777777" w:rsidR="000F69FB" w:rsidRPr="004C5F1A" w:rsidRDefault="000F69FB" w:rsidP="000F69FB">
            <w:pPr>
              <w:pStyle w:val="Table"/>
              <w:ind w:firstLine="0"/>
            </w:pPr>
          </w:p>
        </w:tc>
        <w:tc>
          <w:tcPr>
            <w:tcW w:w="1846" w:type="dxa"/>
            <w:vMerge/>
          </w:tcPr>
          <w:p w14:paraId="22745555" w14:textId="77777777" w:rsidR="000F69FB" w:rsidRPr="003A2270" w:rsidRDefault="000F69FB" w:rsidP="000F69FB">
            <w:pPr>
              <w:pStyle w:val="Table"/>
              <w:ind w:firstLine="0"/>
            </w:pPr>
          </w:p>
        </w:tc>
        <w:tc>
          <w:tcPr>
            <w:tcW w:w="795" w:type="dxa"/>
            <w:vMerge w:val="restart"/>
          </w:tcPr>
          <w:p w14:paraId="63FA69EE" w14:textId="77777777" w:rsidR="000F69FB" w:rsidRPr="003A2270" w:rsidRDefault="000F69FB" w:rsidP="000F69FB">
            <w:pPr>
              <w:pStyle w:val="Table"/>
              <w:ind w:firstLine="0"/>
            </w:pPr>
            <w:r w:rsidRPr="003A2270">
              <w:t>Right</w:t>
            </w:r>
          </w:p>
        </w:tc>
        <w:tc>
          <w:tcPr>
            <w:tcW w:w="1261" w:type="dxa"/>
          </w:tcPr>
          <w:p w14:paraId="18BECE51" w14:textId="77777777" w:rsidR="000F69FB" w:rsidRPr="003A2270" w:rsidRDefault="000F69FB" w:rsidP="000F69FB">
            <w:pPr>
              <w:pStyle w:val="Table"/>
              <w:ind w:firstLine="0"/>
            </w:pPr>
            <w:r w:rsidRPr="003A2270">
              <w:t>Slope</w:t>
            </w:r>
          </w:p>
        </w:tc>
        <w:tc>
          <w:tcPr>
            <w:tcW w:w="884" w:type="dxa"/>
          </w:tcPr>
          <w:p w14:paraId="6AFDC0C1" w14:textId="77777777" w:rsidR="000F69FB" w:rsidRPr="003A2270" w:rsidRDefault="000F69FB" w:rsidP="000F69FB">
            <w:pPr>
              <w:pStyle w:val="Table"/>
              <w:ind w:firstLine="0"/>
            </w:pPr>
            <w:r w:rsidRPr="003A2270">
              <w:t>1, 171</w:t>
            </w:r>
          </w:p>
        </w:tc>
        <w:tc>
          <w:tcPr>
            <w:tcW w:w="984" w:type="dxa"/>
          </w:tcPr>
          <w:p w14:paraId="23D8A952" w14:textId="77777777" w:rsidR="000F69FB" w:rsidRPr="003A2270" w:rsidRDefault="000F69FB" w:rsidP="000F69FB">
            <w:pPr>
              <w:pStyle w:val="Table"/>
              <w:ind w:firstLine="0"/>
            </w:pPr>
            <w:r w:rsidRPr="003A2270">
              <w:t>0.0002</w:t>
            </w:r>
          </w:p>
        </w:tc>
        <w:tc>
          <w:tcPr>
            <w:tcW w:w="945" w:type="dxa"/>
          </w:tcPr>
          <w:p w14:paraId="49E47658" w14:textId="77777777" w:rsidR="000F69FB" w:rsidRPr="003A2270" w:rsidRDefault="000F69FB" w:rsidP="000F69FB">
            <w:pPr>
              <w:pStyle w:val="Table"/>
              <w:ind w:firstLine="0"/>
            </w:pPr>
            <w:r w:rsidRPr="003A2270">
              <w:t>0.990</w:t>
            </w:r>
          </w:p>
        </w:tc>
      </w:tr>
      <w:tr w:rsidR="000F69FB" w:rsidRPr="003A2270" w14:paraId="7700BF5C" w14:textId="77777777" w:rsidTr="000C26DE">
        <w:trPr>
          <w:trHeight w:val="155"/>
          <w:jc w:val="center"/>
        </w:trPr>
        <w:tc>
          <w:tcPr>
            <w:tcW w:w="1788" w:type="dxa"/>
            <w:vMerge/>
          </w:tcPr>
          <w:p w14:paraId="0D24C2F7" w14:textId="77777777" w:rsidR="000F69FB" w:rsidRPr="004C5F1A" w:rsidRDefault="000F69FB" w:rsidP="000F69FB">
            <w:pPr>
              <w:pStyle w:val="Table"/>
              <w:ind w:firstLine="0"/>
            </w:pPr>
          </w:p>
        </w:tc>
        <w:tc>
          <w:tcPr>
            <w:tcW w:w="1846" w:type="dxa"/>
            <w:vMerge/>
          </w:tcPr>
          <w:p w14:paraId="56583D45" w14:textId="77777777" w:rsidR="000F69FB" w:rsidRPr="003A2270" w:rsidRDefault="000F69FB" w:rsidP="000F69FB">
            <w:pPr>
              <w:pStyle w:val="Table"/>
              <w:ind w:firstLine="0"/>
            </w:pPr>
          </w:p>
        </w:tc>
        <w:tc>
          <w:tcPr>
            <w:tcW w:w="795" w:type="dxa"/>
            <w:vMerge/>
          </w:tcPr>
          <w:p w14:paraId="12335B1B" w14:textId="77777777" w:rsidR="000F69FB" w:rsidRPr="003A2270" w:rsidRDefault="000F69FB" w:rsidP="000F69FB">
            <w:pPr>
              <w:pStyle w:val="Table"/>
              <w:ind w:firstLine="0"/>
            </w:pPr>
          </w:p>
        </w:tc>
        <w:tc>
          <w:tcPr>
            <w:tcW w:w="1261" w:type="dxa"/>
          </w:tcPr>
          <w:p w14:paraId="573AE8E2" w14:textId="77777777" w:rsidR="000F69FB" w:rsidRPr="003A2270" w:rsidRDefault="000F69FB" w:rsidP="000F69FB">
            <w:pPr>
              <w:pStyle w:val="Table"/>
              <w:ind w:firstLine="0"/>
            </w:pPr>
            <w:r w:rsidRPr="003A2270">
              <w:t>Intercept</w:t>
            </w:r>
          </w:p>
        </w:tc>
        <w:tc>
          <w:tcPr>
            <w:tcW w:w="884" w:type="dxa"/>
          </w:tcPr>
          <w:p w14:paraId="0A050A49" w14:textId="77777777" w:rsidR="000F69FB" w:rsidRPr="003A2270" w:rsidRDefault="000F69FB" w:rsidP="000F69FB">
            <w:pPr>
              <w:pStyle w:val="Table"/>
              <w:ind w:firstLine="0"/>
            </w:pPr>
            <w:r w:rsidRPr="003A2270">
              <w:t>1, 172</w:t>
            </w:r>
          </w:p>
        </w:tc>
        <w:tc>
          <w:tcPr>
            <w:tcW w:w="984" w:type="dxa"/>
          </w:tcPr>
          <w:p w14:paraId="7E68405F" w14:textId="77777777" w:rsidR="000F69FB" w:rsidRPr="003A2270" w:rsidRDefault="000F69FB" w:rsidP="000F69FB">
            <w:pPr>
              <w:pStyle w:val="Table"/>
              <w:ind w:firstLine="0"/>
            </w:pPr>
            <w:r w:rsidRPr="003A2270">
              <w:t>2.206</w:t>
            </w:r>
          </w:p>
        </w:tc>
        <w:tc>
          <w:tcPr>
            <w:tcW w:w="945" w:type="dxa"/>
          </w:tcPr>
          <w:p w14:paraId="007A8303" w14:textId="77777777" w:rsidR="000F69FB" w:rsidRPr="003A2270" w:rsidRDefault="000F69FB" w:rsidP="000F69FB">
            <w:pPr>
              <w:pStyle w:val="Table"/>
              <w:ind w:firstLine="0"/>
            </w:pPr>
            <w:r w:rsidRPr="003A2270">
              <w:t>0.139</w:t>
            </w:r>
          </w:p>
        </w:tc>
      </w:tr>
      <w:tr w:rsidR="000F69FB" w:rsidRPr="003A2270" w14:paraId="7E1871B1" w14:textId="77777777" w:rsidTr="000C26DE">
        <w:trPr>
          <w:trHeight w:val="155"/>
          <w:jc w:val="center"/>
        </w:trPr>
        <w:tc>
          <w:tcPr>
            <w:tcW w:w="1788" w:type="dxa"/>
            <w:vMerge/>
          </w:tcPr>
          <w:p w14:paraId="72BA323E" w14:textId="77777777" w:rsidR="000F69FB" w:rsidRPr="004C5F1A" w:rsidRDefault="000F69FB" w:rsidP="000F69FB">
            <w:pPr>
              <w:pStyle w:val="Table"/>
              <w:ind w:firstLine="0"/>
            </w:pPr>
          </w:p>
        </w:tc>
        <w:tc>
          <w:tcPr>
            <w:tcW w:w="1846" w:type="dxa"/>
            <w:vMerge w:val="restart"/>
          </w:tcPr>
          <w:p w14:paraId="6C2669A2" w14:textId="77777777" w:rsidR="000F69FB" w:rsidRPr="003A2270" w:rsidRDefault="000F69FB" w:rsidP="000F69FB">
            <w:pPr>
              <w:pStyle w:val="Table"/>
              <w:ind w:firstLine="0"/>
            </w:pPr>
            <w:r w:rsidRPr="003A2270">
              <w:t>40 Hz</w:t>
            </w:r>
          </w:p>
        </w:tc>
        <w:tc>
          <w:tcPr>
            <w:tcW w:w="795" w:type="dxa"/>
            <w:vMerge w:val="restart"/>
          </w:tcPr>
          <w:p w14:paraId="18AF6876" w14:textId="77777777" w:rsidR="000F69FB" w:rsidRPr="003A2270" w:rsidRDefault="000F69FB" w:rsidP="000F69FB">
            <w:pPr>
              <w:pStyle w:val="Table"/>
              <w:ind w:firstLine="0"/>
            </w:pPr>
            <w:r w:rsidRPr="003A2270">
              <w:t>Left</w:t>
            </w:r>
          </w:p>
        </w:tc>
        <w:tc>
          <w:tcPr>
            <w:tcW w:w="1261" w:type="dxa"/>
          </w:tcPr>
          <w:p w14:paraId="1C472D0B" w14:textId="77777777" w:rsidR="000F69FB" w:rsidRPr="003A2270" w:rsidRDefault="000F69FB" w:rsidP="000F69FB">
            <w:pPr>
              <w:pStyle w:val="Table"/>
              <w:ind w:firstLine="0"/>
            </w:pPr>
            <w:r w:rsidRPr="003A2270">
              <w:t>Slope</w:t>
            </w:r>
          </w:p>
        </w:tc>
        <w:tc>
          <w:tcPr>
            <w:tcW w:w="884" w:type="dxa"/>
          </w:tcPr>
          <w:p w14:paraId="7197BEFB" w14:textId="77777777" w:rsidR="000F69FB" w:rsidRPr="003A2270" w:rsidRDefault="000F69FB" w:rsidP="000F69FB">
            <w:pPr>
              <w:pStyle w:val="Table"/>
              <w:ind w:firstLine="0"/>
            </w:pPr>
            <w:r w:rsidRPr="003A2270">
              <w:t>1, 176</w:t>
            </w:r>
          </w:p>
        </w:tc>
        <w:tc>
          <w:tcPr>
            <w:tcW w:w="984" w:type="dxa"/>
          </w:tcPr>
          <w:p w14:paraId="6586A808" w14:textId="77777777" w:rsidR="000F69FB" w:rsidRPr="003A2270" w:rsidRDefault="000F69FB" w:rsidP="000F69FB">
            <w:pPr>
              <w:pStyle w:val="Table"/>
              <w:ind w:firstLine="0"/>
            </w:pPr>
            <w:r w:rsidRPr="003A2270">
              <w:t>0.036</w:t>
            </w:r>
          </w:p>
        </w:tc>
        <w:tc>
          <w:tcPr>
            <w:tcW w:w="945" w:type="dxa"/>
          </w:tcPr>
          <w:p w14:paraId="79E916B1" w14:textId="77777777" w:rsidR="000F69FB" w:rsidRPr="003A2270" w:rsidRDefault="000F69FB" w:rsidP="000F69FB">
            <w:pPr>
              <w:pStyle w:val="Table"/>
              <w:ind w:firstLine="0"/>
            </w:pPr>
            <w:r w:rsidRPr="003A2270">
              <w:t>0.850</w:t>
            </w:r>
          </w:p>
        </w:tc>
      </w:tr>
      <w:tr w:rsidR="000F69FB" w:rsidRPr="003A2270" w14:paraId="3667B2A8" w14:textId="77777777" w:rsidTr="000C26DE">
        <w:trPr>
          <w:trHeight w:val="155"/>
          <w:jc w:val="center"/>
        </w:trPr>
        <w:tc>
          <w:tcPr>
            <w:tcW w:w="1788" w:type="dxa"/>
            <w:vMerge/>
          </w:tcPr>
          <w:p w14:paraId="0ACE9B00" w14:textId="77777777" w:rsidR="000F69FB" w:rsidRPr="004C5F1A" w:rsidRDefault="000F69FB" w:rsidP="000F69FB">
            <w:pPr>
              <w:pStyle w:val="Table"/>
              <w:ind w:firstLine="0"/>
            </w:pPr>
          </w:p>
        </w:tc>
        <w:tc>
          <w:tcPr>
            <w:tcW w:w="1846" w:type="dxa"/>
            <w:vMerge/>
          </w:tcPr>
          <w:p w14:paraId="331D00AE" w14:textId="77777777" w:rsidR="000F69FB" w:rsidRPr="003A2270" w:rsidRDefault="000F69FB" w:rsidP="000F69FB">
            <w:pPr>
              <w:pStyle w:val="Table"/>
              <w:ind w:firstLine="0"/>
            </w:pPr>
          </w:p>
        </w:tc>
        <w:tc>
          <w:tcPr>
            <w:tcW w:w="795" w:type="dxa"/>
            <w:vMerge/>
          </w:tcPr>
          <w:p w14:paraId="7AAFD718" w14:textId="77777777" w:rsidR="000F69FB" w:rsidRPr="003A2270" w:rsidRDefault="000F69FB" w:rsidP="000F69FB">
            <w:pPr>
              <w:pStyle w:val="Table"/>
              <w:ind w:firstLine="0"/>
            </w:pPr>
          </w:p>
        </w:tc>
        <w:tc>
          <w:tcPr>
            <w:tcW w:w="1261" w:type="dxa"/>
          </w:tcPr>
          <w:p w14:paraId="46DBA349" w14:textId="77777777" w:rsidR="000F69FB" w:rsidRPr="003A2270" w:rsidRDefault="000F69FB" w:rsidP="000F69FB">
            <w:pPr>
              <w:pStyle w:val="Table"/>
              <w:ind w:firstLine="0"/>
            </w:pPr>
            <w:r w:rsidRPr="003A2270">
              <w:t>Intercept</w:t>
            </w:r>
          </w:p>
        </w:tc>
        <w:tc>
          <w:tcPr>
            <w:tcW w:w="884" w:type="dxa"/>
          </w:tcPr>
          <w:p w14:paraId="73141330" w14:textId="77777777" w:rsidR="000F69FB" w:rsidRPr="003A2270" w:rsidRDefault="000F69FB" w:rsidP="000F69FB">
            <w:pPr>
              <w:pStyle w:val="Table"/>
              <w:ind w:firstLine="0"/>
            </w:pPr>
            <w:r w:rsidRPr="003A2270">
              <w:t>1, 177</w:t>
            </w:r>
          </w:p>
        </w:tc>
        <w:tc>
          <w:tcPr>
            <w:tcW w:w="984" w:type="dxa"/>
          </w:tcPr>
          <w:p w14:paraId="64311950" w14:textId="77777777" w:rsidR="000F69FB" w:rsidRPr="003A2270" w:rsidRDefault="000F69FB" w:rsidP="000F69FB">
            <w:pPr>
              <w:pStyle w:val="Table"/>
              <w:ind w:firstLine="0"/>
            </w:pPr>
            <w:r w:rsidRPr="003A2270">
              <w:t>1.605</w:t>
            </w:r>
          </w:p>
        </w:tc>
        <w:tc>
          <w:tcPr>
            <w:tcW w:w="945" w:type="dxa"/>
          </w:tcPr>
          <w:p w14:paraId="4AA4FC16" w14:textId="77777777" w:rsidR="000F69FB" w:rsidRPr="003A2270" w:rsidRDefault="000F69FB" w:rsidP="000F69FB">
            <w:pPr>
              <w:pStyle w:val="Table"/>
              <w:ind w:firstLine="0"/>
            </w:pPr>
            <w:r w:rsidRPr="003A2270">
              <w:t>0.207</w:t>
            </w:r>
          </w:p>
        </w:tc>
      </w:tr>
      <w:tr w:rsidR="000F69FB" w:rsidRPr="003A2270" w14:paraId="4D583328" w14:textId="77777777" w:rsidTr="000C26DE">
        <w:trPr>
          <w:trHeight w:val="155"/>
          <w:jc w:val="center"/>
        </w:trPr>
        <w:tc>
          <w:tcPr>
            <w:tcW w:w="1788" w:type="dxa"/>
            <w:vMerge/>
          </w:tcPr>
          <w:p w14:paraId="433DA8A1" w14:textId="77777777" w:rsidR="000F69FB" w:rsidRPr="004C5F1A" w:rsidRDefault="000F69FB" w:rsidP="000F69FB">
            <w:pPr>
              <w:pStyle w:val="Table"/>
              <w:ind w:firstLine="0"/>
            </w:pPr>
          </w:p>
        </w:tc>
        <w:tc>
          <w:tcPr>
            <w:tcW w:w="1846" w:type="dxa"/>
            <w:vMerge/>
          </w:tcPr>
          <w:p w14:paraId="2F7AFAE9" w14:textId="77777777" w:rsidR="000F69FB" w:rsidRPr="003A2270" w:rsidRDefault="000F69FB" w:rsidP="000F69FB">
            <w:pPr>
              <w:pStyle w:val="Table"/>
              <w:ind w:firstLine="0"/>
            </w:pPr>
          </w:p>
        </w:tc>
        <w:tc>
          <w:tcPr>
            <w:tcW w:w="795" w:type="dxa"/>
            <w:vMerge w:val="restart"/>
          </w:tcPr>
          <w:p w14:paraId="1BF88EFE" w14:textId="77777777" w:rsidR="000F69FB" w:rsidRPr="003A2270" w:rsidRDefault="000F69FB" w:rsidP="000F69FB">
            <w:pPr>
              <w:pStyle w:val="Table"/>
              <w:ind w:firstLine="0"/>
            </w:pPr>
            <w:r w:rsidRPr="003A2270">
              <w:t>Right</w:t>
            </w:r>
          </w:p>
        </w:tc>
        <w:tc>
          <w:tcPr>
            <w:tcW w:w="1261" w:type="dxa"/>
          </w:tcPr>
          <w:p w14:paraId="299271A7" w14:textId="77777777" w:rsidR="000F69FB" w:rsidRPr="003A2270" w:rsidRDefault="000F69FB" w:rsidP="000F69FB">
            <w:pPr>
              <w:pStyle w:val="Table"/>
              <w:ind w:firstLine="0"/>
            </w:pPr>
            <w:r w:rsidRPr="003A2270">
              <w:t>Slope</w:t>
            </w:r>
          </w:p>
        </w:tc>
        <w:tc>
          <w:tcPr>
            <w:tcW w:w="884" w:type="dxa"/>
          </w:tcPr>
          <w:p w14:paraId="721EE32A" w14:textId="77777777" w:rsidR="000F69FB" w:rsidRPr="003A2270" w:rsidRDefault="000F69FB" w:rsidP="000F69FB">
            <w:pPr>
              <w:pStyle w:val="Table"/>
              <w:ind w:firstLine="0"/>
            </w:pPr>
            <w:r w:rsidRPr="003A2270">
              <w:t>1, 176</w:t>
            </w:r>
          </w:p>
        </w:tc>
        <w:tc>
          <w:tcPr>
            <w:tcW w:w="984" w:type="dxa"/>
          </w:tcPr>
          <w:p w14:paraId="25FDB7BF" w14:textId="77777777" w:rsidR="000F69FB" w:rsidRPr="003A2270" w:rsidRDefault="000F69FB" w:rsidP="000F69FB">
            <w:pPr>
              <w:pStyle w:val="Table"/>
              <w:ind w:firstLine="0"/>
            </w:pPr>
            <w:r w:rsidRPr="003A2270">
              <w:t>0.076</w:t>
            </w:r>
          </w:p>
        </w:tc>
        <w:tc>
          <w:tcPr>
            <w:tcW w:w="945" w:type="dxa"/>
          </w:tcPr>
          <w:p w14:paraId="117EED09" w14:textId="77777777" w:rsidR="000F69FB" w:rsidRPr="003A2270" w:rsidRDefault="000F69FB" w:rsidP="000F69FB">
            <w:pPr>
              <w:pStyle w:val="Table"/>
              <w:ind w:firstLine="0"/>
            </w:pPr>
            <w:r w:rsidRPr="003A2270">
              <w:t>0.783</w:t>
            </w:r>
          </w:p>
        </w:tc>
      </w:tr>
      <w:tr w:rsidR="000F69FB" w:rsidRPr="003A2270" w14:paraId="3BAF575B" w14:textId="77777777" w:rsidTr="000C26DE">
        <w:trPr>
          <w:trHeight w:val="155"/>
          <w:jc w:val="center"/>
        </w:trPr>
        <w:tc>
          <w:tcPr>
            <w:tcW w:w="1788" w:type="dxa"/>
            <w:vMerge/>
          </w:tcPr>
          <w:p w14:paraId="4BAF6AE9" w14:textId="77777777" w:rsidR="000F69FB" w:rsidRPr="004C5F1A" w:rsidRDefault="000F69FB" w:rsidP="000F69FB">
            <w:pPr>
              <w:pStyle w:val="Table"/>
              <w:ind w:firstLine="0"/>
            </w:pPr>
          </w:p>
        </w:tc>
        <w:tc>
          <w:tcPr>
            <w:tcW w:w="1846" w:type="dxa"/>
            <w:vMerge/>
          </w:tcPr>
          <w:p w14:paraId="23A53D45" w14:textId="77777777" w:rsidR="000F69FB" w:rsidRPr="003A2270" w:rsidRDefault="000F69FB" w:rsidP="000F69FB">
            <w:pPr>
              <w:pStyle w:val="Table"/>
              <w:ind w:firstLine="0"/>
            </w:pPr>
          </w:p>
        </w:tc>
        <w:tc>
          <w:tcPr>
            <w:tcW w:w="795" w:type="dxa"/>
            <w:vMerge/>
          </w:tcPr>
          <w:p w14:paraId="152C44A1" w14:textId="77777777" w:rsidR="000F69FB" w:rsidRPr="003A2270" w:rsidRDefault="000F69FB" w:rsidP="000F69FB">
            <w:pPr>
              <w:pStyle w:val="Table"/>
              <w:ind w:firstLine="0"/>
            </w:pPr>
          </w:p>
        </w:tc>
        <w:tc>
          <w:tcPr>
            <w:tcW w:w="1261" w:type="dxa"/>
          </w:tcPr>
          <w:p w14:paraId="5E518FAE" w14:textId="77777777" w:rsidR="000F69FB" w:rsidRPr="003A2270" w:rsidRDefault="000F69FB" w:rsidP="000F69FB">
            <w:pPr>
              <w:pStyle w:val="Table"/>
              <w:ind w:firstLine="0"/>
            </w:pPr>
            <w:r w:rsidRPr="003A2270">
              <w:t>Intercept</w:t>
            </w:r>
          </w:p>
        </w:tc>
        <w:tc>
          <w:tcPr>
            <w:tcW w:w="884" w:type="dxa"/>
          </w:tcPr>
          <w:p w14:paraId="7A01F314" w14:textId="77777777" w:rsidR="000F69FB" w:rsidRPr="003A2270" w:rsidRDefault="000F69FB" w:rsidP="000F69FB">
            <w:pPr>
              <w:pStyle w:val="Table"/>
              <w:ind w:firstLine="0"/>
            </w:pPr>
            <w:r w:rsidRPr="003A2270">
              <w:t>1, 177</w:t>
            </w:r>
          </w:p>
        </w:tc>
        <w:tc>
          <w:tcPr>
            <w:tcW w:w="984" w:type="dxa"/>
          </w:tcPr>
          <w:p w14:paraId="37D7438C" w14:textId="77777777" w:rsidR="000F69FB" w:rsidRPr="003A2270" w:rsidRDefault="000F69FB" w:rsidP="000F69FB">
            <w:pPr>
              <w:pStyle w:val="Table"/>
              <w:ind w:firstLine="0"/>
            </w:pPr>
            <w:r w:rsidRPr="003A2270">
              <w:t>0.220</w:t>
            </w:r>
          </w:p>
        </w:tc>
        <w:tc>
          <w:tcPr>
            <w:tcW w:w="945" w:type="dxa"/>
          </w:tcPr>
          <w:p w14:paraId="5847204F" w14:textId="77777777" w:rsidR="000F69FB" w:rsidRPr="003A2270" w:rsidRDefault="000F69FB" w:rsidP="000F69FB">
            <w:pPr>
              <w:pStyle w:val="Table"/>
              <w:ind w:firstLine="0"/>
            </w:pPr>
            <w:r w:rsidRPr="003A2270">
              <w:t>0.640</w:t>
            </w:r>
          </w:p>
        </w:tc>
      </w:tr>
      <w:tr w:rsidR="000F69FB" w:rsidRPr="003A2270" w14:paraId="48D92B39" w14:textId="77777777" w:rsidTr="000C26DE">
        <w:trPr>
          <w:trHeight w:val="155"/>
          <w:jc w:val="center"/>
        </w:trPr>
        <w:tc>
          <w:tcPr>
            <w:tcW w:w="1788" w:type="dxa"/>
            <w:vMerge w:val="restart"/>
          </w:tcPr>
          <w:p w14:paraId="50B72409" w14:textId="77777777" w:rsidR="000F69FB" w:rsidRPr="004C5F1A" w:rsidRDefault="000F69FB" w:rsidP="000F69FB">
            <w:pPr>
              <w:pStyle w:val="Table"/>
              <w:ind w:firstLine="0"/>
            </w:pPr>
            <w:r w:rsidRPr="004C5F1A">
              <w:t>Phase Locking Factor</w:t>
            </w:r>
          </w:p>
        </w:tc>
        <w:tc>
          <w:tcPr>
            <w:tcW w:w="1846" w:type="dxa"/>
            <w:vMerge w:val="restart"/>
          </w:tcPr>
          <w:p w14:paraId="1CEE4F47" w14:textId="77777777" w:rsidR="000F69FB" w:rsidRPr="003A2270" w:rsidRDefault="000F69FB" w:rsidP="000F69FB">
            <w:pPr>
              <w:pStyle w:val="Table"/>
              <w:ind w:firstLine="0"/>
            </w:pPr>
            <w:r w:rsidRPr="003A2270">
              <w:t>20 Hz</w:t>
            </w:r>
          </w:p>
        </w:tc>
        <w:tc>
          <w:tcPr>
            <w:tcW w:w="795" w:type="dxa"/>
            <w:vMerge w:val="restart"/>
          </w:tcPr>
          <w:p w14:paraId="7D6420BE" w14:textId="77777777" w:rsidR="000F69FB" w:rsidRPr="003A2270" w:rsidRDefault="000F69FB" w:rsidP="000F69FB">
            <w:pPr>
              <w:pStyle w:val="Table"/>
              <w:ind w:firstLine="0"/>
            </w:pPr>
            <w:r w:rsidRPr="003A2270">
              <w:t>Left</w:t>
            </w:r>
          </w:p>
        </w:tc>
        <w:tc>
          <w:tcPr>
            <w:tcW w:w="1261" w:type="dxa"/>
          </w:tcPr>
          <w:p w14:paraId="054923F2" w14:textId="77777777" w:rsidR="000F69FB" w:rsidRPr="003A2270" w:rsidRDefault="000F69FB" w:rsidP="000F69FB">
            <w:pPr>
              <w:pStyle w:val="Table"/>
              <w:ind w:firstLine="0"/>
            </w:pPr>
            <w:r w:rsidRPr="003A2270">
              <w:t>Slope</w:t>
            </w:r>
          </w:p>
        </w:tc>
        <w:tc>
          <w:tcPr>
            <w:tcW w:w="884" w:type="dxa"/>
          </w:tcPr>
          <w:p w14:paraId="61F4A566" w14:textId="77777777" w:rsidR="000F69FB" w:rsidRPr="003A2270" w:rsidRDefault="000F69FB" w:rsidP="000F69FB">
            <w:pPr>
              <w:pStyle w:val="Table"/>
              <w:ind w:firstLine="0"/>
            </w:pPr>
            <w:r w:rsidRPr="003A2270">
              <w:t>1, 176</w:t>
            </w:r>
          </w:p>
        </w:tc>
        <w:tc>
          <w:tcPr>
            <w:tcW w:w="984" w:type="dxa"/>
          </w:tcPr>
          <w:p w14:paraId="017A1386" w14:textId="77777777" w:rsidR="000F69FB" w:rsidRPr="003A2270" w:rsidRDefault="000F69FB" w:rsidP="000F69FB">
            <w:pPr>
              <w:pStyle w:val="Table"/>
              <w:ind w:firstLine="0"/>
            </w:pPr>
            <w:r w:rsidRPr="003A2270">
              <w:t>0.205</w:t>
            </w:r>
          </w:p>
        </w:tc>
        <w:tc>
          <w:tcPr>
            <w:tcW w:w="945" w:type="dxa"/>
          </w:tcPr>
          <w:p w14:paraId="434BAA83" w14:textId="77777777" w:rsidR="000F69FB" w:rsidRPr="003A2270" w:rsidRDefault="000F69FB" w:rsidP="000F69FB">
            <w:pPr>
              <w:pStyle w:val="Table"/>
              <w:ind w:firstLine="0"/>
            </w:pPr>
            <w:r w:rsidRPr="003A2270">
              <w:t>0.651</w:t>
            </w:r>
          </w:p>
        </w:tc>
      </w:tr>
      <w:tr w:rsidR="000F69FB" w:rsidRPr="003A2270" w14:paraId="73ED6EF7" w14:textId="77777777" w:rsidTr="000C26DE">
        <w:trPr>
          <w:trHeight w:val="155"/>
          <w:jc w:val="center"/>
        </w:trPr>
        <w:tc>
          <w:tcPr>
            <w:tcW w:w="1788" w:type="dxa"/>
            <w:vMerge/>
          </w:tcPr>
          <w:p w14:paraId="4E5C0186" w14:textId="77777777" w:rsidR="000F69FB" w:rsidRPr="003A2270" w:rsidRDefault="000F69FB" w:rsidP="000F69FB">
            <w:pPr>
              <w:pStyle w:val="Table"/>
              <w:ind w:firstLine="0"/>
            </w:pPr>
          </w:p>
        </w:tc>
        <w:tc>
          <w:tcPr>
            <w:tcW w:w="1846" w:type="dxa"/>
            <w:vMerge/>
          </w:tcPr>
          <w:p w14:paraId="3AB34706" w14:textId="77777777" w:rsidR="000F69FB" w:rsidRPr="003A2270" w:rsidRDefault="000F69FB" w:rsidP="000F69FB">
            <w:pPr>
              <w:pStyle w:val="Table"/>
              <w:ind w:firstLine="0"/>
            </w:pPr>
          </w:p>
        </w:tc>
        <w:tc>
          <w:tcPr>
            <w:tcW w:w="795" w:type="dxa"/>
            <w:vMerge/>
          </w:tcPr>
          <w:p w14:paraId="0AB886C0" w14:textId="77777777" w:rsidR="000F69FB" w:rsidRPr="003A2270" w:rsidRDefault="000F69FB" w:rsidP="000F69FB">
            <w:pPr>
              <w:pStyle w:val="Table"/>
              <w:ind w:firstLine="0"/>
            </w:pPr>
          </w:p>
        </w:tc>
        <w:tc>
          <w:tcPr>
            <w:tcW w:w="1261" w:type="dxa"/>
          </w:tcPr>
          <w:p w14:paraId="641637DC" w14:textId="77777777" w:rsidR="000F69FB" w:rsidRPr="003A2270" w:rsidRDefault="000F69FB" w:rsidP="000F69FB">
            <w:pPr>
              <w:pStyle w:val="Table"/>
              <w:ind w:firstLine="0"/>
            </w:pPr>
            <w:r w:rsidRPr="003A2270">
              <w:t>Intercept</w:t>
            </w:r>
          </w:p>
        </w:tc>
        <w:tc>
          <w:tcPr>
            <w:tcW w:w="884" w:type="dxa"/>
          </w:tcPr>
          <w:p w14:paraId="4369D108" w14:textId="77777777" w:rsidR="000F69FB" w:rsidRPr="003A2270" w:rsidRDefault="000F69FB" w:rsidP="000F69FB">
            <w:pPr>
              <w:pStyle w:val="Table"/>
              <w:ind w:firstLine="0"/>
            </w:pPr>
            <w:r w:rsidRPr="003A2270">
              <w:t>1, 177</w:t>
            </w:r>
          </w:p>
        </w:tc>
        <w:tc>
          <w:tcPr>
            <w:tcW w:w="984" w:type="dxa"/>
          </w:tcPr>
          <w:p w14:paraId="4D84FF24" w14:textId="77777777" w:rsidR="000F69FB" w:rsidRPr="003A2270" w:rsidRDefault="000F69FB" w:rsidP="000F69FB">
            <w:pPr>
              <w:pStyle w:val="Table"/>
              <w:ind w:firstLine="0"/>
            </w:pPr>
            <w:r w:rsidRPr="003A2270">
              <w:t>4.985</w:t>
            </w:r>
          </w:p>
        </w:tc>
        <w:tc>
          <w:tcPr>
            <w:tcW w:w="945" w:type="dxa"/>
          </w:tcPr>
          <w:p w14:paraId="023CDCC0" w14:textId="77777777" w:rsidR="000F69FB" w:rsidRPr="0086576C" w:rsidRDefault="000F69FB" w:rsidP="000F69FB">
            <w:pPr>
              <w:pStyle w:val="Table"/>
              <w:ind w:firstLine="0"/>
              <w:rPr>
                <w:u w:val="single"/>
              </w:rPr>
            </w:pPr>
            <w:r w:rsidRPr="0086576C">
              <w:rPr>
                <w:u w:val="single"/>
              </w:rPr>
              <w:t>&lt;0.05</w:t>
            </w:r>
          </w:p>
        </w:tc>
      </w:tr>
      <w:tr w:rsidR="000F69FB" w:rsidRPr="003A2270" w14:paraId="1774821A" w14:textId="77777777" w:rsidTr="000C26DE">
        <w:trPr>
          <w:trHeight w:val="155"/>
          <w:jc w:val="center"/>
        </w:trPr>
        <w:tc>
          <w:tcPr>
            <w:tcW w:w="1788" w:type="dxa"/>
            <w:vMerge/>
          </w:tcPr>
          <w:p w14:paraId="76C6E2EE" w14:textId="77777777" w:rsidR="000F69FB" w:rsidRPr="003A2270" w:rsidRDefault="000F69FB" w:rsidP="000F69FB">
            <w:pPr>
              <w:pStyle w:val="Table"/>
              <w:ind w:firstLine="0"/>
            </w:pPr>
          </w:p>
        </w:tc>
        <w:tc>
          <w:tcPr>
            <w:tcW w:w="1846" w:type="dxa"/>
            <w:vMerge/>
          </w:tcPr>
          <w:p w14:paraId="46FCB647" w14:textId="77777777" w:rsidR="000F69FB" w:rsidRPr="003A2270" w:rsidRDefault="000F69FB" w:rsidP="000F69FB">
            <w:pPr>
              <w:pStyle w:val="Table"/>
              <w:ind w:firstLine="0"/>
            </w:pPr>
          </w:p>
        </w:tc>
        <w:tc>
          <w:tcPr>
            <w:tcW w:w="795" w:type="dxa"/>
            <w:vMerge w:val="restart"/>
          </w:tcPr>
          <w:p w14:paraId="67E99855" w14:textId="77777777" w:rsidR="000F69FB" w:rsidRPr="003A2270" w:rsidRDefault="000F69FB" w:rsidP="000F69FB">
            <w:pPr>
              <w:pStyle w:val="Table"/>
              <w:ind w:firstLine="0"/>
            </w:pPr>
            <w:r w:rsidRPr="003A2270">
              <w:t>Right</w:t>
            </w:r>
          </w:p>
        </w:tc>
        <w:tc>
          <w:tcPr>
            <w:tcW w:w="1261" w:type="dxa"/>
          </w:tcPr>
          <w:p w14:paraId="0785ED38" w14:textId="77777777" w:rsidR="000F69FB" w:rsidRPr="003A2270" w:rsidRDefault="000F69FB" w:rsidP="000F69FB">
            <w:pPr>
              <w:pStyle w:val="Table"/>
              <w:ind w:firstLine="0"/>
            </w:pPr>
            <w:r w:rsidRPr="003A2270">
              <w:t>Slope</w:t>
            </w:r>
          </w:p>
        </w:tc>
        <w:tc>
          <w:tcPr>
            <w:tcW w:w="884" w:type="dxa"/>
          </w:tcPr>
          <w:p w14:paraId="37EA25E1" w14:textId="77777777" w:rsidR="000F69FB" w:rsidRPr="003A2270" w:rsidRDefault="000F69FB" w:rsidP="000F69FB">
            <w:pPr>
              <w:pStyle w:val="Table"/>
              <w:ind w:firstLine="0"/>
            </w:pPr>
            <w:r w:rsidRPr="003A2270">
              <w:t>1, 171</w:t>
            </w:r>
          </w:p>
        </w:tc>
        <w:tc>
          <w:tcPr>
            <w:tcW w:w="984" w:type="dxa"/>
          </w:tcPr>
          <w:p w14:paraId="2CBC0CD8" w14:textId="77777777" w:rsidR="000F69FB" w:rsidRPr="003A2270" w:rsidRDefault="000F69FB" w:rsidP="000F69FB">
            <w:pPr>
              <w:pStyle w:val="Table"/>
              <w:ind w:firstLine="0"/>
            </w:pPr>
            <w:r w:rsidRPr="003A2270">
              <w:t>0.053</w:t>
            </w:r>
          </w:p>
        </w:tc>
        <w:tc>
          <w:tcPr>
            <w:tcW w:w="945" w:type="dxa"/>
          </w:tcPr>
          <w:p w14:paraId="454587B8" w14:textId="77777777" w:rsidR="000F69FB" w:rsidRPr="003A2270" w:rsidRDefault="000F69FB" w:rsidP="000F69FB">
            <w:pPr>
              <w:pStyle w:val="Table"/>
              <w:ind w:firstLine="0"/>
            </w:pPr>
            <w:r w:rsidRPr="003A2270">
              <w:t>0.818</w:t>
            </w:r>
          </w:p>
        </w:tc>
      </w:tr>
      <w:tr w:rsidR="000F69FB" w:rsidRPr="003A2270" w14:paraId="6F6C81AD" w14:textId="77777777" w:rsidTr="000C26DE">
        <w:trPr>
          <w:trHeight w:val="155"/>
          <w:jc w:val="center"/>
        </w:trPr>
        <w:tc>
          <w:tcPr>
            <w:tcW w:w="1788" w:type="dxa"/>
            <w:vMerge/>
          </w:tcPr>
          <w:p w14:paraId="6BAFD444" w14:textId="77777777" w:rsidR="000F69FB" w:rsidRPr="003A2270" w:rsidRDefault="000F69FB" w:rsidP="000F69FB">
            <w:pPr>
              <w:pStyle w:val="Table"/>
              <w:ind w:firstLine="0"/>
            </w:pPr>
          </w:p>
        </w:tc>
        <w:tc>
          <w:tcPr>
            <w:tcW w:w="1846" w:type="dxa"/>
            <w:vMerge/>
          </w:tcPr>
          <w:p w14:paraId="536F3714" w14:textId="77777777" w:rsidR="000F69FB" w:rsidRPr="003A2270" w:rsidRDefault="000F69FB" w:rsidP="000F69FB">
            <w:pPr>
              <w:pStyle w:val="Table"/>
              <w:ind w:firstLine="0"/>
            </w:pPr>
          </w:p>
        </w:tc>
        <w:tc>
          <w:tcPr>
            <w:tcW w:w="795" w:type="dxa"/>
            <w:vMerge/>
          </w:tcPr>
          <w:p w14:paraId="6CA0D633" w14:textId="77777777" w:rsidR="000F69FB" w:rsidRPr="003A2270" w:rsidRDefault="000F69FB" w:rsidP="000F69FB">
            <w:pPr>
              <w:pStyle w:val="Table"/>
              <w:ind w:firstLine="0"/>
            </w:pPr>
          </w:p>
        </w:tc>
        <w:tc>
          <w:tcPr>
            <w:tcW w:w="1261" w:type="dxa"/>
          </w:tcPr>
          <w:p w14:paraId="71465DDB" w14:textId="77777777" w:rsidR="000F69FB" w:rsidRPr="003A2270" w:rsidRDefault="000F69FB" w:rsidP="000F69FB">
            <w:pPr>
              <w:pStyle w:val="Table"/>
              <w:ind w:firstLine="0"/>
            </w:pPr>
            <w:r w:rsidRPr="003A2270">
              <w:t>Intercept</w:t>
            </w:r>
          </w:p>
        </w:tc>
        <w:tc>
          <w:tcPr>
            <w:tcW w:w="884" w:type="dxa"/>
          </w:tcPr>
          <w:p w14:paraId="338B9A2A" w14:textId="77777777" w:rsidR="000F69FB" w:rsidRPr="003A2270" w:rsidRDefault="000F69FB" w:rsidP="000F69FB">
            <w:pPr>
              <w:pStyle w:val="Table"/>
              <w:ind w:firstLine="0"/>
            </w:pPr>
            <w:r w:rsidRPr="003A2270">
              <w:t>1, 172</w:t>
            </w:r>
          </w:p>
        </w:tc>
        <w:tc>
          <w:tcPr>
            <w:tcW w:w="984" w:type="dxa"/>
          </w:tcPr>
          <w:p w14:paraId="0DA5FDA0" w14:textId="77777777" w:rsidR="000F69FB" w:rsidRPr="003A2270" w:rsidRDefault="000F69FB" w:rsidP="000F69FB">
            <w:pPr>
              <w:pStyle w:val="Table"/>
              <w:ind w:firstLine="0"/>
            </w:pPr>
            <w:r w:rsidRPr="003A2270">
              <w:t>0.596</w:t>
            </w:r>
          </w:p>
        </w:tc>
        <w:tc>
          <w:tcPr>
            <w:tcW w:w="945" w:type="dxa"/>
          </w:tcPr>
          <w:p w14:paraId="33FF97BA" w14:textId="77777777" w:rsidR="000F69FB" w:rsidRPr="003A2270" w:rsidRDefault="000F69FB" w:rsidP="000F69FB">
            <w:pPr>
              <w:pStyle w:val="Table"/>
              <w:ind w:firstLine="0"/>
            </w:pPr>
            <w:r w:rsidRPr="003A2270">
              <w:t>0.441</w:t>
            </w:r>
          </w:p>
        </w:tc>
      </w:tr>
      <w:tr w:rsidR="000F69FB" w:rsidRPr="003A2270" w14:paraId="23554901" w14:textId="77777777" w:rsidTr="000C26DE">
        <w:trPr>
          <w:trHeight w:val="155"/>
          <w:jc w:val="center"/>
        </w:trPr>
        <w:tc>
          <w:tcPr>
            <w:tcW w:w="1788" w:type="dxa"/>
            <w:vMerge/>
          </w:tcPr>
          <w:p w14:paraId="30B7B226" w14:textId="77777777" w:rsidR="000F69FB" w:rsidRPr="003A2270" w:rsidRDefault="000F69FB" w:rsidP="000F69FB">
            <w:pPr>
              <w:pStyle w:val="Table"/>
              <w:ind w:firstLine="0"/>
            </w:pPr>
          </w:p>
        </w:tc>
        <w:tc>
          <w:tcPr>
            <w:tcW w:w="1846" w:type="dxa"/>
            <w:vMerge w:val="restart"/>
          </w:tcPr>
          <w:p w14:paraId="123A2FA7" w14:textId="77777777" w:rsidR="000F69FB" w:rsidRPr="003A2270" w:rsidRDefault="000F69FB" w:rsidP="000F69FB">
            <w:pPr>
              <w:pStyle w:val="Table"/>
              <w:ind w:firstLine="0"/>
            </w:pPr>
            <w:r w:rsidRPr="003A2270">
              <w:t>40 Hz</w:t>
            </w:r>
          </w:p>
        </w:tc>
        <w:tc>
          <w:tcPr>
            <w:tcW w:w="795" w:type="dxa"/>
            <w:vMerge w:val="restart"/>
          </w:tcPr>
          <w:p w14:paraId="5D42D6F5" w14:textId="77777777" w:rsidR="000F69FB" w:rsidRPr="003A2270" w:rsidRDefault="000F69FB" w:rsidP="000F69FB">
            <w:pPr>
              <w:pStyle w:val="Table"/>
              <w:ind w:firstLine="0"/>
            </w:pPr>
            <w:r w:rsidRPr="003A2270">
              <w:t>Left</w:t>
            </w:r>
          </w:p>
        </w:tc>
        <w:tc>
          <w:tcPr>
            <w:tcW w:w="1261" w:type="dxa"/>
          </w:tcPr>
          <w:p w14:paraId="683D652B" w14:textId="77777777" w:rsidR="000F69FB" w:rsidRPr="003A2270" w:rsidRDefault="000F69FB" w:rsidP="000F69FB">
            <w:pPr>
              <w:pStyle w:val="Table"/>
              <w:ind w:firstLine="0"/>
            </w:pPr>
            <w:r w:rsidRPr="003A2270">
              <w:t>Slope</w:t>
            </w:r>
          </w:p>
        </w:tc>
        <w:tc>
          <w:tcPr>
            <w:tcW w:w="884" w:type="dxa"/>
          </w:tcPr>
          <w:p w14:paraId="165F1F9B" w14:textId="77777777" w:rsidR="000F69FB" w:rsidRPr="003A2270" w:rsidRDefault="000F69FB" w:rsidP="000F69FB">
            <w:pPr>
              <w:pStyle w:val="Table"/>
              <w:ind w:firstLine="0"/>
            </w:pPr>
            <w:r w:rsidRPr="003A2270">
              <w:t>1, 176</w:t>
            </w:r>
          </w:p>
        </w:tc>
        <w:tc>
          <w:tcPr>
            <w:tcW w:w="984" w:type="dxa"/>
          </w:tcPr>
          <w:p w14:paraId="5A4C2FE2" w14:textId="77777777" w:rsidR="000F69FB" w:rsidRPr="003A2270" w:rsidRDefault="000F69FB" w:rsidP="000F69FB">
            <w:pPr>
              <w:pStyle w:val="Table"/>
              <w:ind w:firstLine="0"/>
            </w:pPr>
            <w:r w:rsidRPr="003A2270">
              <w:t>0.024</w:t>
            </w:r>
          </w:p>
        </w:tc>
        <w:tc>
          <w:tcPr>
            <w:tcW w:w="945" w:type="dxa"/>
          </w:tcPr>
          <w:p w14:paraId="37D5E23E" w14:textId="77777777" w:rsidR="000F69FB" w:rsidRPr="003A2270" w:rsidRDefault="000F69FB" w:rsidP="000F69FB">
            <w:pPr>
              <w:pStyle w:val="Table"/>
              <w:ind w:firstLine="0"/>
            </w:pPr>
            <w:r w:rsidRPr="003A2270">
              <w:t>0.877</w:t>
            </w:r>
          </w:p>
        </w:tc>
      </w:tr>
      <w:tr w:rsidR="000F69FB" w:rsidRPr="003A2270" w14:paraId="0821EC35" w14:textId="77777777" w:rsidTr="000C26DE">
        <w:trPr>
          <w:trHeight w:val="155"/>
          <w:jc w:val="center"/>
        </w:trPr>
        <w:tc>
          <w:tcPr>
            <w:tcW w:w="1788" w:type="dxa"/>
            <w:vMerge/>
          </w:tcPr>
          <w:p w14:paraId="19DE7518" w14:textId="77777777" w:rsidR="000F69FB" w:rsidRPr="003A2270" w:rsidRDefault="000F69FB" w:rsidP="000F69FB">
            <w:pPr>
              <w:pStyle w:val="Table"/>
              <w:ind w:firstLine="0"/>
            </w:pPr>
          </w:p>
        </w:tc>
        <w:tc>
          <w:tcPr>
            <w:tcW w:w="1846" w:type="dxa"/>
            <w:vMerge/>
          </w:tcPr>
          <w:p w14:paraId="063EE95F" w14:textId="77777777" w:rsidR="000F69FB" w:rsidRPr="003A2270" w:rsidRDefault="000F69FB" w:rsidP="000F69FB">
            <w:pPr>
              <w:pStyle w:val="Table"/>
              <w:ind w:firstLine="0"/>
            </w:pPr>
          </w:p>
        </w:tc>
        <w:tc>
          <w:tcPr>
            <w:tcW w:w="795" w:type="dxa"/>
            <w:vMerge/>
          </w:tcPr>
          <w:p w14:paraId="368B9836" w14:textId="77777777" w:rsidR="000F69FB" w:rsidRPr="003A2270" w:rsidRDefault="000F69FB" w:rsidP="000F69FB">
            <w:pPr>
              <w:pStyle w:val="Table"/>
              <w:ind w:firstLine="0"/>
            </w:pPr>
          </w:p>
        </w:tc>
        <w:tc>
          <w:tcPr>
            <w:tcW w:w="1261" w:type="dxa"/>
          </w:tcPr>
          <w:p w14:paraId="245B1A06" w14:textId="77777777" w:rsidR="000F69FB" w:rsidRPr="003A2270" w:rsidRDefault="000F69FB" w:rsidP="000F69FB">
            <w:pPr>
              <w:pStyle w:val="Table"/>
              <w:ind w:firstLine="0"/>
            </w:pPr>
            <w:r w:rsidRPr="003A2270">
              <w:t>Intercept</w:t>
            </w:r>
          </w:p>
        </w:tc>
        <w:tc>
          <w:tcPr>
            <w:tcW w:w="884" w:type="dxa"/>
          </w:tcPr>
          <w:p w14:paraId="560219D1" w14:textId="77777777" w:rsidR="000F69FB" w:rsidRPr="003A2270" w:rsidRDefault="000F69FB" w:rsidP="000F69FB">
            <w:pPr>
              <w:pStyle w:val="Table"/>
              <w:ind w:firstLine="0"/>
            </w:pPr>
            <w:r w:rsidRPr="003A2270">
              <w:t>1, 177</w:t>
            </w:r>
          </w:p>
        </w:tc>
        <w:tc>
          <w:tcPr>
            <w:tcW w:w="984" w:type="dxa"/>
          </w:tcPr>
          <w:p w14:paraId="29A54543" w14:textId="77777777" w:rsidR="000F69FB" w:rsidRPr="003A2270" w:rsidRDefault="000F69FB" w:rsidP="000F69FB">
            <w:pPr>
              <w:pStyle w:val="Table"/>
              <w:ind w:firstLine="0"/>
            </w:pPr>
            <w:r w:rsidRPr="003A2270">
              <w:t>0.950</w:t>
            </w:r>
          </w:p>
        </w:tc>
        <w:tc>
          <w:tcPr>
            <w:tcW w:w="945" w:type="dxa"/>
          </w:tcPr>
          <w:p w14:paraId="445EE91E" w14:textId="77777777" w:rsidR="000F69FB" w:rsidRPr="003A2270" w:rsidRDefault="000F69FB" w:rsidP="000F69FB">
            <w:pPr>
              <w:pStyle w:val="Table"/>
              <w:ind w:firstLine="0"/>
            </w:pPr>
            <w:r w:rsidRPr="003A2270">
              <w:t>0.331</w:t>
            </w:r>
          </w:p>
        </w:tc>
      </w:tr>
      <w:tr w:rsidR="000F69FB" w:rsidRPr="003A2270" w14:paraId="0E4DC399" w14:textId="77777777" w:rsidTr="000C26DE">
        <w:trPr>
          <w:trHeight w:val="155"/>
          <w:jc w:val="center"/>
        </w:trPr>
        <w:tc>
          <w:tcPr>
            <w:tcW w:w="1788" w:type="dxa"/>
            <w:vMerge/>
          </w:tcPr>
          <w:p w14:paraId="186F6B99" w14:textId="77777777" w:rsidR="000F69FB" w:rsidRPr="003A2270" w:rsidRDefault="000F69FB" w:rsidP="000F69FB">
            <w:pPr>
              <w:pStyle w:val="Table"/>
              <w:ind w:firstLine="0"/>
            </w:pPr>
          </w:p>
        </w:tc>
        <w:tc>
          <w:tcPr>
            <w:tcW w:w="1846" w:type="dxa"/>
            <w:vMerge/>
          </w:tcPr>
          <w:p w14:paraId="057F84DB" w14:textId="77777777" w:rsidR="000F69FB" w:rsidRPr="003A2270" w:rsidRDefault="000F69FB" w:rsidP="000F69FB">
            <w:pPr>
              <w:pStyle w:val="Table"/>
              <w:ind w:firstLine="0"/>
            </w:pPr>
          </w:p>
        </w:tc>
        <w:tc>
          <w:tcPr>
            <w:tcW w:w="795" w:type="dxa"/>
            <w:vMerge w:val="restart"/>
          </w:tcPr>
          <w:p w14:paraId="081888D9" w14:textId="77777777" w:rsidR="000F69FB" w:rsidRPr="003A2270" w:rsidRDefault="000F69FB" w:rsidP="000F69FB">
            <w:pPr>
              <w:pStyle w:val="Table"/>
              <w:ind w:firstLine="0"/>
            </w:pPr>
            <w:r w:rsidRPr="003A2270">
              <w:t>Right</w:t>
            </w:r>
          </w:p>
        </w:tc>
        <w:tc>
          <w:tcPr>
            <w:tcW w:w="1261" w:type="dxa"/>
          </w:tcPr>
          <w:p w14:paraId="3046A4A8" w14:textId="77777777" w:rsidR="000F69FB" w:rsidRPr="003A2270" w:rsidRDefault="000F69FB" w:rsidP="000F69FB">
            <w:pPr>
              <w:pStyle w:val="Table"/>
              <w:ind w:firstLine="0"/>
            </w:pPr>
            <w:r w:rsidRPr="003A2270">
              <w:t>Slope</w:t>
            </w:r>
          </w:p>
        </w:tc>
        <w:tc>
          <w:tcPr>
            <w:tcW w:w="884" w:type="dxa"/>
          </w:tcPr>
          <w:p w14:paraId="212780DF" w14:textId="77777777" w:rsidR="000F69FB" w:rsidRPr="003A2270" w:rsidRDefault="000F69FB" w:rsidP="000F69FB">
            <w:pPr>
              <w:pStyle w:val="Table"/>
              <w:ind w:firstLine="0"/>
            </w:pPr>
            <w:r w:rsidRPr="003A2270">
              <w:t>1, 171</w:t>
            </w:r>
          </w:p>
        </w:tc>
        <w:tc>
          <w:tcPr>
            <w:tcW w:w="984" w:type="dxa"/>
          </w:tcPr>
          <w:p w14:paraId="0387BB90" w14:textId="77777777" w:rsidR="000F69FB" w:rsidRPr="003A2270" w:rsidRDefault="000F69FB" w:rsidP="000F69FB">
            <w:pPr>
              <w:pStyle w:val="Table"/>
              <w:ind w:firstLine="0"/>
            </w:pPr>
            <w:r w:rsidRPr="003A2270">
              <w:t>0.202</w:t>
            </w:r>
          </w:p>
        </w:tc>
        <w:tc>
          <w:tcPr>
            <w:tcW w:w="945" w:type="dxa"/>
          </w:tcPr>
          <w:p w14:paraId="093340E8" w14:textId="77777777" w:rsidR="000F69FB" w:rsidRPr="003A2270" w:rsidRDefault="000F69FB" w:rsidP="000F69FB">
            <w:pPr>
              <w:pStyle w:val="Table"/>
              <w:ind w:firstLine="0"/>
            </w:pPr>
            <w:r w:rsidRPr="003A2270">
              <w:t>0.654</w:t>
            </w:r>
          </w:p>
        </w:tc>
      </w:tr>
      <w:tr w:rsidR="000F69FB" w:rsidRPr="003A2270" w14:paraId="6D0B29B0" w14:textId="77777777" w:rsidTr="000C26DE">
        <w:trPr>
          <w:trHeight w:val="155"/>
          <w:jc w:val="center"/>
        </w:trPr>
        <w:tc>
          <w:tcPr>
            <w:tcW w:w="1788" w:type="dxa"/>
            <w:vMerge/>
          </w:tcPr>
          <w:p w14:paraId="58558AB7" w14:textId="77777777" w:rsidR="000F69FB" w:rsidRPr="003A2270" w:rsidRDefault="000F69FB" w:rsidP="000F69FB">
            <w:pPr>
              <w:pStyle w:val="Table"/>
              <w:ind w:firstLine="0"/>
            </w:pPr>
          </w:p>
        </w:tc>
        <w:tc>
          <w:tcPr>
            <w:tcW w:w="1846" w:type="dxa"/>
            <w:vMerge/>
          </w:tcPr>
          <w:p w14:paraId="64B768EB" w14:textId="77777777" w:rsidR="000F69FB" w:rsidRPr="003A2270" w:rsidRDefault="000F69FB" w:rsidP="000F69FB">
            <w:pPr>
              <w:pStyle w:val="Table"/>
              <w:ind w:firstLine="0"/>
            </w:pPr>
          </w:p>
        </w:tc>
        <w:tc>
          <w:tcPr>
            <w:tcW w:w="795" w:type="dxa"/>
            <w:vMerge/>
          </w:tcPr>
          <w:p w14:paraId="6B40E26D" w14:textId="77777777" w:rsidR="000F69FB" w:rsidRPr="003A2270" w:rsidRDefault="000F69FB" w:rsidP="000F69FB">
            <w:pPr>
              <w:pStyle w:val="Table"/>
              <w:ind w:firstLine="0"/>
            </w:pPr>
          </w:p>
        </w:tc>
        <w:tc>
          <w:tcPr>
            <w:tcW w:w="1261" w:type="dxa"/>
          </w:tcPr>
          <w:p w14:paraId="333B4E62" w14:textId="77777777" w:rsidR="000F69FB" w:rsidRPr="003A2270" w:rsidRDefault="000F69FB" w:rsidP="000F69FB">
            <w:pPr>
              <w:pStyle w:val="Table"/>
              <w:ind w:firstLine="0"/>
            </w:pPr>
            <w:r w:rsidRPr="003A2270">
              <w:t>Intercept</w:t>
            </w:r>
          </w:p>
        </w:tc>
        <w:tc>
          <w:tcPr>
            <w:tcW w:w="884" w:type="dxa"/>
          </w:tcPr>
          <w:p w14:paraId="053AD6E7" w14:textId="77777777" w:rsidR="000F69FB" w:rsidRPr="003A2270" w:rsidRDefault="000F69FB" w:rsidP="000F69FB">
            <w:pPr>
              <w:pStyle w:val="Table"/>
              <w:ind w:firstLine="0"/>
            </w:pPr>
            <w:r w:rsidRPr="003A2270">
              <w:t>1, 172</w:t>
            </w:r>
          </w:p>
        </w:tc>
        <w:tc>
          <w:tcPr>
            <w:tcW w:w="984" w:type="dxa"/>
          </w:tcPr>
          <w:p w14:paraId="3D531277" w14:textId="77777777" w:rsidR="000F69FB" w:rsidRPr="003A2270" w:rsidRDefault="000F69FB" w:rsidP="000F69FB">
            <w:pPr>
              <w:pStyle w:val="Table"/>
              <w:ind w:firstLine="0"/>
            </w:pPr>
            <w:r w:rsidRPr="003A2270">
              <w:t>0.0003</w:t>
            </w:r>
          </w:p>
        </w:tc>
        <w:tc>
          <w:tcPr>
            <w:tcW w:w="945" w:type="dxa"/>
          </w:tcPr>
          <w:p w14:paraId="36F84210" w14:textId="77777777" w:rsidR="000F69FB" w:rsidRPr="003A2270" w:rsidRDefault="000F69FB" w:rsidP="000F69FB">
            <w:pPr>
              <w:pStyle w:val="Table"/>
              <w:ind w:firstLine="0"/>
            </w:pPr>
            <w:r w:rsidRPr="003A2270">
              <w:t>0.986</w:t>
            </w:r>
          </w:p>
        </w:tc>
      </w:tr>
    </w:tbl>
    <w:p w14:paraId="604B48E2" w14:textId="08143947" w:rsidR="000F69FB" w:rsidRPr="003A2270" w:rsidRDefault="000F69FB" w:rsidP="000F69FB">
      <w:pPr>
        <w:pStyle w:val="FigureLegend"/>
      </w:pPr>
      <w:bookmarkStart w:id="27" w:name="_Toc408487680"/>
      <w:bookmarkStart w:id="28" w:name="_Toc409012773"/>
      <w:bookmarkStart w:id="29" w:name="_Toc409016015"/>
      <w:bookmarkStart w:id="30" w:name="_Toc409082430"/>
      <w:r w:rsidRPr="00A0341C">
        <w:rPr>
          <w:rStyle w:val="FigureLegendBOLDChar"/>
        </w:rPr>
        <w:t xml:space="preserve">Table </w:t>
      </w:r>
      <w:r w:rsidR="00170B20" w:rsidRPr="00A0341C">
        <w:rPr>
          <w:rStyle w:val="FigureLegendBOLDChar"/>
        </w:rPr>
        <w:t>B</w:t>
      </w:r>
      <w:r w:rsidR="00207039" w:rsidRPr="00A0341C">
        <w:rPr>
          <w:rStyle w:val="FigureLegendBOLDChar"/>
        </w:rPr>
        <w:t>.</w:t>
      </w:r>
      <w:r w:rsidRPr="00A0341C">
        <w:rPr>
          <w:rStyle w:val="FigureLegendBOLDChar"/>
        </w:rPr>
        <w:t xml:space="preserve"> Results from linear regression on measurements from auditory steady-state responses (ASSR) comparing slopes and means.</w:t>
      </w:r>
      <w:r w:rsidRPr="003A2270">
        <w:t xml:space="preserve"> Regression was performed on values averaged over 100 ms intervals for the first 500 ms after stimulus train start. Significant differences underlined.</w:t>
      </w:r>
      <w:bookmarkEnd w:id="27"/>
      <w:bookmarkEnd w:id="28"/>
      <w:bookmarkEnd w:id="29"/>
      <w:bookmarkEnd w:id="30"/>
    </w:p>
    <w:p w14:paraId="4338015C" w14:textId="77777777" w:rsidR="000F69FB" w:rsidRPr="003A2270" w:rsidRDefault="000F69FB" w:rsidP="000F69FB">
      <w:pPr>
        <w:pStyle w:val="FigureLegend"/>
      </w:pPr>
    </w:p>
    <w:p w14:paraId="5698F88B" w14:textId="77777777" w:rsidR="000F69FB" w:rsidRPr="003A2270" w:rsidRDefault="000F69FB" w:rsidP="000F69FB">
      <w:pPr>
        <w:pStyle w:val="FigureLegend"/>
      </w:pPr>
    </w:p>
    <w:tbl>
      <w:tblPr>
        <w:tblStyle w:val="TableGrid"/>
        <w:tblW w:w="0" w:type="auto"/>
        <w:jc w:val="center"/>
        <w:tblLook w:val="04A0" w:firstRow="1" w:lastRow="0" w:firstColumn="1" w:lastColumn="0" w:noHBand="0" w:noVBand="1"/>
      </w:tblPr>
      <w:tblGrid>
        <w:gridCol w:w="1973"/>
        <w:gridCol w:w="1573"/>
        <w:gridCol w:w="795"/>
        <w:gridCol w:w="1262"/>
        <w:gridCol w:w="884"/>
        <w:gridCol w:w="984"/>
        <w:gridCol w:w="945"/>
      </w:tblGrid>
      <w:tr w:rsidR="000F69FB" w:rsidRPr="003A2270" w14:paraId="6A0AB89F" w14:textId="77777777" w:rsidTr="000C26DE">
        <w:trPr>
          <w:jc w:val="center"/>
        </w:trPr>
        <w:tc>
          <w:tcPr>
            <w:tcW w:w="1973" w:type="dxa"/>
          </w:tcPr>
          <w:p w14:paraId="4583C955" w14:textId="77777777" w:rsidR="000F69FB" w:rsidRPr="0028260F" w:rsidRDefault="000F69FB" w:rsidP="000F69FB">
            <w:pPr>
              <w:pStyle w:val="Table"/>
              <w:ind w:firstLine="0"/>
              <w:rPr>
                <w:i/>
              </w:rPr>
            </w:pPr>
            <w:r w:rsidRPr="0028260F">
              <w:t>ASSR</w:t>
            </w:r>
          </w:p>
        </w:tc>
        <w:tc>
          <w:tcPr>
            <w:tcW w:w="1573" w:type="dxa"/>
          </w:tcPr>
          <w:p w14:paraId="6BCF9DBD" w14:textId="77777777" w:rsidR="000F69FB" w:rsidRPr="0028260F" w:rsidRDefault="000F69FB" w:rsidP="000F69FB">
            <w:pPr>
              <w:pStyle w:val="Table"/>
              <w:ind w:firstLine="0"/>
            </w:pPr>
            <w:r w:rsidRPr="0028260F">
              <w:t>Stimulus Rate</w:t>
            </w:r>
          </w:p>
        </w:tc>
        <w:tc>
          <w:tcPr>
            <w:tcW w:w="795" w:type="dxa"/>
          </w:tcPr>
          <w:p w14:paraId="16E35007" w14:textId="77777777" w:rsidR="000F69FB" w:rsidRPr="0028260F" w:rsidRDefault="000F69FB" w:rsidP="000F69FB">
            <w:pPr>
              <w:pStyle w:val="Table"/>
              <w:ind w:firstLine="0"/>
            </w:pPr>
            <w:r w:rsidRPr="0028260F">
              <w:t>Side</w:t>
            </w:r>
          </w:p>
        </w:tc>
        <w:tc>
          <w:tcPr>
            <w:tcW w:w="1262" w:type="dxa"/>
          </w:tcPr>
          <w:p w14:paraId="2981D378" w14:textId="77777777" w:rsidR="000F69FB" w:rsidRPr="0028260F" w:rsidRDefault="000F69FB" w:rsidP="000F69FB">
            <w:pPr>
              <w:pStyle w:val="Table"/>
              <w:ind w:firstLine="0"/>
            </w:pPr>
            <w:r w:rsidRPr="0028260F">
              <w:t>Effect</w:t>
            </w:r>
          </w:p>
        </w:tc>
        <w:tc>
          <w:tcPr>
            <w:tcW w:w="884" w:type="dxa"/>
          </w:tcPr>
          <w:p w14:paraId="749A5B89" w14:textId="77777777" w:rsidR="000F69FB" w:rsidRPr="0028260F" w:rsidRDefault="000F69FB" w:rsidP="000F69FB">
            <w:pPr>
              <w:pStyle w:val="Table"/>
              <w:ind w:firstLine="0"/>
            </w:pPr>
            <w:r w:rsidRPr="0028260F">
              <w:t>df</w:t>
            </w:r>
          </w:p>
        </w:tc>
        <w:tc>
          <w:tcPr>
            <w:tcW w:w="984" w:type="dxa"/>
          </w:tcPr>
          <w:p w14:paraId="60B698C5" w14:textId="77777777" w:rsidR="000F69FB" w:rsidRPr="0028260F" w:rsidRDefault="000F69FB" w:rsidP="000F69FB">
            <w:pPr>
              <w:pStyle w:val="Table"/>
              <w:ind w:firstLine="0"/>
            </w:pPr>
            <w:r w:rsidRPr="0028260F">
              <w:t>F-value</w:t>
            </w:r>
          </w:p>
        </w:tc>
        <w:tc>
          <w:tcPr>
            <w:tcW w:w="945" w:type="dxa"/>
          </w:tcPr>
          <w:p w14:paraId="580F9D19" w14:textId="77777777" w:rsidR="000F69FB" w:rsidRPr="0028260F" w:rsidRDefault="000F69FB" w:rsidP="000F69FB">
            <w:pPr>
              <w:pStyle w:val="Table"/>
              <w:ind w:firstLine="0"/>
            </w:pPr>
            <w:r w:rsidRPr="0028260F">
              <w:t>p-value</w:t>
            </w:r>
          </w:p>
        </w:tc>
      </w:tr>
      <w:tr w:rsidR="000F69FB" w:rsidRPr="003A2270" w14:paraId="60F52200" w14:textId="77777777" w:rsidTr="000C26DE">
        <w:trPr>
          <w:trHeight w:val="690"/>
          <w:jc w:val="center"/>
        </w:trPr>
        <w:tc>
          <w:tcPr>
            <w:tcW w:w="1973" w:type="dxa"/>
            <w:vMerge w:val="restart"/>
          </w:tcPr>
          <w:p w14:paraId="3859A539" w14:textId="77777777" w:rsidR="000F69FB" w:rsidRPr="0028260F" w:rsidRDefault="000F69FB" w:rsidP="000F69FB">
            <w:pPr>
              <w:pStyle w:val="Table"/>
              <w:ind w:firstLine="0"/>
            </w:pPr>
            <w:r w:rsidRPr="0028260F">
              <w:t>Mean Trial Power</w:t>
            </w:r>
          </w:p>
        </w:tc>
        <w:tc>
          <w:tcPr>
            <w:tcW w:w="1573" w:type="dxa"/>
            <w:vMerge w:val="restart"/>
          </w:tcPr>
          <w:p w14:paraId="6224400A" w14:textId="77777777" w:rsidR="000F69FB" w:rsidRPr="003A2270" w:rsidRDefault="000F69FB" w:rsidP="000F69FB">
            <w:pPr>
              <w:pStyle w:val="Table"/>
              <w:ind w:firstLine="0"/>
            </w:pPr>
            <w:r w:rsidRPr="003A2270">
              <w:t>20 Hz</w:t>
            </w:r>
          </w:p>
        </w:tc>
        <w:tc>
          <w:tcPr>
            <w:tcW w:w="795" w:type="dxa"/>
          </w:tcPr>
          <w:p w14:paraId="23B9B2A6" w14:textId="77777777" w:rsidR="000F69FB" w:rsidRPr="003A2270" w:rsidRDefault="000F69FB" w:rsidP="000F69FB">
            <w:pPr>
              <w:pStyle w:val="Table"/>
              <w:ind w:firstLine="0"/>
            </w:pPr>
            <w:r w:rsidRPr="003A2270">
              <w:t>Left</w:t>
            </w:r>
          </w:p>
        </w:tc>
        <w:tc>
          <w:tcPr>
            <w:tcW w:w="1262" w:type="dxa"/>
          </w:tcPr>
          <w:p w14:paraId="26075D2D" w14:textId="77777777" w:rsidR="000F69FB" w:rsidRPr="003A2270" w:rsidRDefault="000F69FB" w:rsidP="000F69FB">
            <w:pPr>
              <w:pStyle w:val="Table"/>
              <w:ind w:firstLine="0"/>
            </w:pPr>
            <w:r w:rsidRPr="003A2270">
              <w:t>Group</w:t>
            </w:r>
          </w:p>
          <w:p w14:paraId="038E5D25" w14:textId="77777777" w:rsidR="000F69FB" w:rsidRPr="003A2270" w:rsidRDefault="000F69FB" w:rsidP="000F69FB">
            <w:pPr>
              <w:pStyle w:val="Table"/>
              <w:ind w:firstLine="0"/>
            </w:pPr>
            <w:r w:rsidRPr="003A2270">
              <w:t>Time</w:t>
            </w:r>
          </w:p>
          <w:p w14:paraId="07980719" w14:textId="77777777" w:rsidR="000F69FB" w:rsidRPr="003A2270" w:rsidRDefault="000F69FB" w:rsidP="000F69FB">
            <w:pPr>
              <w:pStyle w:val="Table"/>
              <w:ind w:firstLine="0"/>
            </w:pPr>
            <w:r w:rsidRPr="003A2270">
              <w:t>Interaction</w:t>
            </w:r>
          </w:p>
        </w:tc>
        <w:tc>
          <w:tcPr>
            <w:tcW w:w="884" w:type="dxa"/>
          </w:tcPr>
          <w:p w14:paraId="6E54F577" w14:textId="77777777" w:rsidR="000F69FB" w:rsidRPr="003A2270" w:rsidRDefault="000F69FB" w:rsidP="000F69FB">
            <w:pPr>
              <w:pStyle w:val="Table"/>
              <w:ind w:firstLine="0"/>
            </w:pPr>
            <w:r w:rsidRPr="003A2270">
              <w:t>1, 34</w:t>
            </w:r>
          </w:p>
          <w:p w14:paraId="4C59B696" w14:textId="77777777" w:rsidR="000F69FB" w:rsidRPr="003A2270" w:rsidRDefault="000F69FB" w:rsidP="000F69FB">
            <w:pPr>
              <w:pStyle w:val="Table"/>
              <w:ind w:firstLine="0"/>
            </w:pPr>
            <w:r w:rsidRPr="003A2270">
              <w:t>4, 136</w:t>
            </w:r>
          </w:p>
          <w:p w14:paraId="28BE891C" w14:textId="77777777" w:rsidR="000F69FB" w:rsidRPr="003A2270" w:rsidRDefault="000F69FB" w:rsidP="000F69FB">
            <w:pPr>
              <w:pStyle w:val="Table"/>
              <w:ind w:firstLine="0"/>
            </w:pPr>
            <w:r w:rsidRPr="003A2270">
              <w:t>4, 136</w:t>
            </w:r>
          </w:p>
        </w:tc>
        <w:tc>
          <w:tcPr>
            <w:tcW w:w="984" w:type="dxa"/>
          </w:tcPr>
          <w:p w14:paraId="309ED13D" w14:textId="77777777" w:rsidR="000F69FB" w:rsidRPr="003A2270" w:rsidRDefault="000F69FB" w:rsidP="000F69FB">
            <w:pPr>
              <w:pStyle w:val="Table"/>
              <w:ind w:firstLine="0"/>
            </w:pPr>
            <w:r w:rsidRPr="003A2270">
              <w:t>0.004</w:t>
            </w:r>
          </w:p>
          <w:p w14:paraId="57CDD15F" w14:textId="77777777" w:rsidR="000F69FB" w:rsidRPr="003A2270" w:rsidRDefault="000F69FB" w:rsidP="000F69FB">
            <w:pPr>
              <w:pStyle w:val="Table"/>
              <w:ind w:firstLine="0"/>
            </w:pPr>
            <w:r w:rsidRPr="003A2270">
              <w:t>12.110</w:t>
            </w:r>
          </w:p>
          <w:p w14:paraId="0DE61CE8" w14:textId="77777777" w:rsidR="000F69FB" w:rsidRPr="003A2270" w:rsidRDefault="000F69FB" w:rsidP="000F69FB">
            <w:pPr>
              <w:pStyle w:val="Table"/>
              <w:ind w:firstLine="0"/>
            </w:pPr>
            <w:r w:rsidRPr="003A2270">
              <w:t>0.796</w:t>
            </w:r>
          </w:p>
        </w:tc>
        <w:tc>
          <w:tcPr>
            <w:tcW w:w="945" w:type="dxa"/>
          </w:tcPr>
          <w:p w14:paraId="4FEF9944" w14:textId="77777777" w:rsidR="000F69FB" w:rsidRPr="003A2270" w:rsidRDefault="000F69FB" w:rsidP="000F69FB">
            <w:pPr>
              <w:pStyle w:val="Table"/>
              <w:ind w:firstLine="0"/>
            </w:pPr>
            <w:r w:rsidRPr="003A2270">
              <w:t>0.952</w:t>
            </w:r>
          </w:p>
          <w:p w14:paraId="35D7AD41" w14:textId="77777777" w:rsidR="000F69FB" w:rsidRPr="0086576C" w:rsidRDefault="000F69FB" w:rsidP="000F69FB">
            <w:pPr>
              <w:pStyle w:val="Table"/>
              <w:ind w:firstLine="0"/>
              <w:rPr>
                <w:u w:val="single"/>
              </w:rPr>
            </w:pPr>
            <w:r w:rsidRPr="0086576C">
              <w:rPr>
                <w:u w:val="single"/>
              </w:rPr>
              <w:t>&lt;0.0001</w:t>
            </w:r>
          </w:p>
          <w:p w14:paraId="2E1E7181" w14:textId="77777777" w:rsidR="000F69FB" w:rsidRPr="003A2270" w:rsidRDefault="000F69FB" w:rsidP="000F69FB">
            <w:pPr>
              <w:pStyle w:val="Table"/>
              <w:ind w:firstLine="0"/>
            </w:pPr>
            <w:r w:rsidRPr="003A2270">
              <w:t>0.530</w:t>
            </w:r>
          </w:p>
        </w:tc>
      </w:tr>
      <w:tr w:rsidR="000F69FB" w:rsidRPr="003A2270" w14:paraId="3D1C8850" w14:textId="77777777" w:rsidTr="000C26DE">
        <w:trPr>
          <w:trHeight w:val="690"/>
          <w:jc w:val="center"/>
        </w:trPr>
        <w:tc>
          <w:tcPr>
            <w:tcW w:w="1973" w:type="dxa"/>
            <w:vMerge/>
          </w:tcPr>
          <w:p w14:paraId="3726466C" w14:textId="77777777" w:rsidR="000F69FB" w:rsidRPr="003A2270" w:rsidRDefault="000F69FB" w:rsidP="000F69FB">
            <w:pPr>
              <w:pStyle w:val="Table"/>
              <w:ind w:firstLine="0"/>
            </w:pPr>
          </w:p>
        </w:tc>
        <w:tc>
          <w:tcPr>
            <w:tcW w:w="1573" w:type="dxa"/>
            <w:vMerge/>
          </w:tcPr>
          <w:p w14:paraId="526870B4" w14:textId="77777777" w:rsidR="000F69FB" w:rsidRPr="003A2270" w:rsidRDefault="000F69FB" w:rsidP="000F69FB">
            <w:pPr>
              <w:pStyle w:val="Table"/>
              <w:ind w:firstLine="0"/>
            </w:pPr>
          </w:p>
        </w:tc>
        <w:tc>
          <w:tcPr>
            <w:tcW w:w="795" w:type="dxa"/>
          </w:tcPr>
          <w:p w14:paraId="0BB89092" w14:textId="77777777" w:rsidR="000F69FB" w:rsidRPr="003A2270" w:rsidRDefault="000F69FB" w:rsidP="000F69FB">
            <w:pPr>
              <w:pStyle w:val="Table"/>
              <w:ind w:firstLine="0"/>
            </w:pPr>
            <w:r w:rsidRPr="003A2270">
              <w:t>Right</w:t>
            </w:r>
          </w:p>
        </w:tc>
        <w:tc>
          <w:tcPr>
            <w:tcW w:w="1262" w:type="dxa"/>
          </w:tcPr>
          <w:p w14:paraId="428EE916" w14:textId="77777777" w:rsidR="000F69FB" w:rsidRPr="003A2270" w:rsidRDefault="000F69FB" w:rsidP="000F69FB">
            <w:pPr>
              <w:pStyle w:val="Table"/>
              <w:ind w:firstLine="0"/>
            </w:pPr>
            <w:r w:rsidRPr="003A2270">
              <w:t>Group</w:t>
            </w:r>
          </w:p>
          <w:p w14:paraId="7F90C5BC" w14:textId="77777777" w:rsidR="000F69FB" w:rsidRPr="003A2270" w:rsidRDefault="000F69FB" w:rsidP="000F69FB">
            <w:pPr>
              <w:pStyle w:val="Table"/>
              <w:ind w:firstLine="0"/>
            </w:pPr>
            <w:r w:rsidRPr="003A2270">
              <w:t>Time</w:t>
            </w:r>
          </w:p>
          <w:p w14:paraId="6FFEA7D8" w14:textId="77777777" w:rsidR="000F69FB" w:rsidRPr="003A2270" w:rsidRDefault="000F69FB" w:rsidP="000F69FB">
            <w:pPr>
              <w:pStyle w:val="Table"/>
              <w:ind w:firstLine="0"/>
            </w:pPr>
            <w:r w:rsidRPr="003A2270">
              <w:t>Interaction</w:t>
            </w:r>
          </w:p>
        </w:tc>
        <w:tc>
          <w:tcPr>
            <w:tcW w:w="884" w:type="dxa"/>
          </w:tcPr>
          <w:p w14:paraId="1779EEB3" w14:textId="77777777" w:rsidR="000F69FB" w:rsidRPr="003A2270" w:rsidRDefault="000F69FB" w:rsidP="000F69FB">
            <w:pPr>
              <w:pStyle w:val="Table"/>
              <w:ind w:firstLine="0"/>
            </w:pPr>
            <w:r w:rsidRPr="003A2270">
              <w:t>1, 34</w:t>
            </w:r>
          </w:p>
          <w:p w14:paraId="3BC70BCA" w14:textId="77777777" w:rsidR="000F69FB" w:rsidRPr="003A2270" w:rsidRDefault="000F69FB" w:rsidP="000F69FB">
            <w:pPr>
              <w:pStyle w:val="Table"/>
              <w:ind w:firstLine="0"/>
            </w:pPr>
            <w:r w:rsidRPr="003A2270">
              <w:t>4, 136</w:t>
            </w:r>
          </w:p>
          <w:p w14:paraId="5E1C1827" w14:textId="77777777" w:rsidR="000F69FB" w:rsidRPr="003A2270" w:rsidRDefault="000F69FB" w:rsidP="000F69FB">
            <w:pPr>
              <w:pStyle w:val="Table"/>
              <w:ind w:firstLine="0"/>
            </w:pPr>
            <w:r w:rsidRPr="003A2270">
              <w:t>4, 136</w:t>
            </w:r>
          </w:p>
        </w:tc>
        <w:tc>
          <w:tcPr>
            <w:tcW w:w="984" w:type="dxa"/>
          </w:tcPr>
          <w:p w14:paraId="76D76CDA" w14:textId="77777777" w:rsidR="000F69FB" w:rsidRPr="003A2270" w:rsidRDefault="000F69FB" w:rsidP="000F69FB">
            <w:pPr>
              <w:pStyle w:val="Table"/>
              <w:ind w:firstLine="0"/>
            </w:pPr>
            <w:r w:rsidRPr="003A2270">
              <w:t>0.009</w:t>
            </w:r>
          </w:p>
          <w:p w14:paraId="4177DB7C" w14:textId="77777777" w:rsidR="000F69FB" w:rsidRPr="003A2270" w:rsidRDefault="000F69FB" w:rsidP="000F69FB">
            <w:pPr>
              <w:pStyle w:val="Table"/>
              <w:ind w:firstLine="0"/>
            </w:pPr>
            <w:r w:rsidRPr="003A2270">
              <w:t>12.900</w:t>
            </w:r>
          </w:p>
          <w:p w14:paraId="2E2BFA4A" w14:textId="77777777" w:rsidR="000F69FB" w:rsidRPr="003A2270" w:rsidRDefault="000F69FB" w:rsidP="000F69FB">
            <w:pPr>
              <w:pStyle w:val="Table"/>
              <w:ind w:firstLine="0"/>
            </w:pPr>
            <w:r w:rsidRPr="003A2270">
              <w:t>1.072</w:t>
            </w:r>
          </w:p>
        </w:tc>
        <w:tc>
          <w:tcPr>
            <w:tcW w:w="945" w:type="dxa"/>
          </w:tcPr>
          <w:p w14:paraId="682DC558" w14:textId="77777777" w:rsidR="000F69FB" w:rsidRPr="003A2270" w:rsidRDefault="000F69FB" w:rsidP="000F69FB">
            <w:pPr>
              <w:pStyle w:val="Table"/>
              <w:ind w:firstLine="0"/>
            </w:pPr>
            <w:r w:rsidRPr="003A2270">
              <w:t>0.927</w:t>
            </w:r>
          </w:p>
          <w:p w14:paraId="3EF8A05A" w14:textId="77777777" w:rsidR="000F69FB" w:rsidRPr="0086576C" w:rsidRDefault="000F69FB" w:rsidP="000F69FB">
            <w:pPr>
              <w:pStyle w:val="Table"/>
              <w:ind w:firstLine="0"/>
              <w:rPr>
                <w:u w:val="single"/>
              </w:rPr>
            </w:pPr>
            <w:r w:rsidRPr="0086576C">
              <w:rPr>
                <w:u w:val="single"/>
              </w:rPr>
              <w:t>&lt;0.0001</w:t>
            </w:r>
          </w:p>
          <w:p w14:paraId="632C7F4D" w14:textId="77777777" w:rsidR="000F69FB" w:rsidRPr="003A2270" w:rsidRDefault="000F69FB" w:rsidP="000F69FB">
            <w:pPr>
              <w:pStyle w:val="Table"/>
              <w:ind w:firstLine="0"/>
            </w:pPr>
            <w:r w:rsidRPr="003A2270">
              <w:t>0.373</w:t>
            </w:r>
          </w:p>
        </w:tc>
      </w:tr>
      <w:tr w:rsidR="000F69FB" w:rsidRPr="003A2270" w14:paraId="3361F1FC" w14:textId="77777777" w:rsidTr="000C26DE">
        <w:trPr>
          <w:trHeight w:val="690"/>
          <w:jc w:val="center"/>
        </w:trPr>
        <w:tc>
          <w:tcPr>
            <w:tcW w:w="1973" w:type="dxa"/>
            <w:vMerge/>
          </w:tcPr>
          <w:p w14:paraId="0AA628A7" w14:textId="77777777" w:rsidR="000F69FB" w:rsidRPr="003A2270" w:rsidRDefault="000F69FB" w:rsidP="000F69FB">
            <w:pPr>
              <w:pStyle w:val="Table"/>
              <w:ind w:firstLine="0"/>
            </w:pPr>
          </w:p>
        </w:tc>
        <w:tc>
          <w:tcPr>
            <w:tcW w:w="1573" w:type="dxa"/>
            <w:vMerge w:val="restart"/>
          </w:tcPr>
          <w:p w14:paraId="23723C00" w14:textId="77777777" w:rsidR="000F69FB" w:rsidRPr="003A2270" w:rsidRDefault="000F69FB" w:rsidP="000F69FB">
            <w:pPr>
              <w:pStyle w:val="Table"/>
              <w:ind w:firstLine="0"/>
            </w:pPr>
            <w:r w:rsidRPr="003A2270">
              <w:t>40 Hz</w:t>
            </w:r>
          </w:p>
        </w:tc>
        <w:tc>
          <w:tcPr>
            <w:tcW w:w="795" w:type="dxa"/>
          </w:tcPr>
          <w:p w14:paraId="7074A1B7" w14:textId="77777777" w:rsidR="000F69FB" w:rsidRPr="003A2270" w:rsidRDefault="000F69FB" w:rsidP="000F69FB">
            <w:pPr>
              <w:pStyle w:val="Table"/>
              <w:ind w:firstLine="0"/>
            </w:pPr>
            <w:r w:rsidRPr="003A2270">
              <w:t>Left</w:t>
            </w:r>
          </w:p>
        </w:tc>
        <w:tc>
          <w:tcPr>
            <w:tcW w:w="1262" w:type="dxa"/>
          </w:tcPr>
          <w:p w14:paraId="456CE1E4" w14:textId="77777777" w:rsidR="000F69FB" w:rsidRPr="003A2270" w:rsidRDefault="000F69FB" w:rsidP="000F69FB">
            <w:pPr>
              <w:pStyle w:val="Table"/>
              <w:ind w:firstLine="0"/>
            </w:pPr>
            <w:r w:rsidRPr="003A2270">
              <w:t>Group</w:t>
            </w:r>
          </w:p>
          <w:p w14:paraId="7D22BDC4" w14:textId="77777777" w:rsidR="000F69FB" w:rsidRPr="003A2270" w:rsidRDefault="000F69FB" w:rsidP="000F69FB">
            <w:pPr>
              <w:pStyle w:val="Table"/>
              <w:ind w:firstLine="0"/>
            </w:pPr>
            <w:r w:rsidRPr="003A2270">
              <w:t>Time</w:t>
            </w:r>
          </w:p>
          <w:p w14:paraId="38D71585" w14:textId="77777777" w:rsidR="000F69FB" w:rsidRPr="003A2270" w:rsidRDefault="000F69FB" w:rsidP="000F69FB">
            <w:pPr>
              <w:pStyle w:val="Table"/>
              <w:ind w:firstLine="0"/>
            </w:pPr>
            <w:r w:rsidRPr="003A2270">
              <w:t>Interaction</w:t>
            </w:r>
          </w:p>
        </w:tc>
        <w:tc>
          <w:tcPr>
            <w:tcW w:w="884" w:type="dxa"/>
          </w:tcPr>
          <w:p w14:paraId="2E6158F9" w14:textId="77777777" w:rsidR="000F69FB" w:rsidRPr="003A2270" w:rsidRDefault="000F69FB" w:rsidP="000F69FB">
            <w:pPr>
              <w:pStyle w:val="Table"/>
              <w:ind w:firstLine="0"/>
            </w:pPr>
            <w:r w:rsidRPr="003A2270">
              <w:t>1, 34</w:t>
            </w:r>
          </w:p>
          <w:p w14:paraId="679F1123" w14:textId="77777777" w:rsidR="000F69FB" w:rsidRPr="003A2270" w:rsidRDefault="000F69FB" w:rsidP="000F69FB">
            <w:pPr>
              <w:pStyle w:val="Table"/>
              <w:ind w:firstLine="0"/>
            </w:pPr>
            <w:r w:rsidRPr="003A2270">
              <w:t>4, 136</w:t>
            </w:r>
          </w:p>
          <w:p w14:paraId="5C614CE5" w14:textId="77777777" w:rsidR="000F69FB" w:rsidRPr="003A2270" w:rsidRDefault="000F69FB" w:rsidP="000F69FB">
            <w:pPr>
              <w:pStyle w:val="Table"/>
              <w:ind w:firstLine="0"/>
            </w:pPr>
            <w:r w:rsidRPr="003A2270">
              <w:t>4, 136</w:t>
            </w:r>
          </w:p>
        </w:tc>
        <w:tc>
          <w:tcPr>
            <w:tcW w:w="984" w:type="dxa"/>
          </w:tcPr>
          <w:p w14:paraId="1BCFDD96" w14:textId="77777777" w:rsidR="000F69FB" w:rsidRPr="003A2270" w:rsidRDefault="000F69FB" w:rsidP="000F69FB">
            <w:pPr>
              <w:pStyle w:val="Table"/>
              <w:ind w:firstLine="0"/>
            </w:pPr>
            <w:r w:rsidRPr="003A2270">
              <w:t>0.024</w:t>
            </w:r>
          </w:p>
          <w:p w14:paraId="107488A7" w14:textId="77777777" w:rsidR="000F69FB" w:rsidRPr="003A2270" w:rsidRDefault="000F69FB" w:rsidP="000F69FB">
            <w:pPr>
              <w:pStyle w:val="Table"/>
              <w:ind w:firstLine="0"/>
            </w:pPr>
            <w:r w:rsidRPr="003A2270">
              <w:t>6.403</w:t>
            </w:r>
          </w:p>
          <w:p w14:paraId="61AB3B3E" w14:textId="77777777" w:rsidR="000F69FB" w:rsidRPr="003A2270" w:rsidRDefault="000F69FB" w:rsidP="000F69FB">
            <w:pPr>
              <w:pStyle w:val="Table"/>
              <w:ind w:firstLine="0"/>
            </w:pPr>
            <w:r w:rsidRPr="003A2270">
              <w:t>0.832</w:t>
            </w:r>
          </w:p>
        </w:tc>
        <w:tc>
          <w:tcPr>
            <w:tcW w:w="945" w:type="dxa"/>
          </w:tcPr>
          <w:p w14:paraId="010CABCB" w14:textId="77777777" w:rsidR="000F69FB" w:rsidRPr="003A2270" w:rsidRDefault="000F69FB" w:rsidP="000F69FB">
            <w:pPr>
              <w:pStyle w:val="Table"/>
              <w:ind w:firstLine="0"/>
            </w:pPr>
            <w:r w:rsidRPr="003A2270">
              <w:t>0.877</w:t>
            </w:r>
          </w:p>
          <w:p w14:paraId="5E273E4C" w14:textId="77777777" w:rsidR="000F69FB" w:rsidRPr="0086576C" w:rsidRDefault="000F69FB" w:rsidP="000F69FB">
            <w:pPr>
              <w:pStyle w:val="Table"/>
              <w:ind w:firstLine="0"/>
              <w:rPr>
                <w:u w:val="single"/>
              </w:rPr>
            </w:pPr>
            <w:r w:rsidRPr="0086576C">
              <w:rPr>
                <w:u w:val="single"/>
              </w:rPr>
              <w:t>&lt;0.0001</w:t>
            </w:r>
          </w:p>
          <w:p w14:paraId="228DC241" w14:textId="77777777" w:rsidR="000F69FB" w:rsidRPr="003A2270" w:rsidRDefault="000F69FB" w:rsidP="000F69FB">
            <w:pPr>
              <w:pStyle w:val="Table"/>
              <w:ind w:firstLine="0"/>
            </w:pPr>
            <w:r w:rsidRPr="003A2270">
              <w:t>0.507</w:t>
            </w:r>
          </w:p>
        </w:tc>
      </w:tr>
      <w:tr w:rsidR="000F69FB" w:rsidRPr="003A2270" w14:paraId="631E56AF" w14:textId="77777777" w:rsidTr="000C26DE">
        <w:trPr>
          <w:trHeight w:val="155"/>
          <w:jc w:val="center"/>
        </w:trPr>
        <w:tc>
          <w:tcPr>
            <w:tcW w:w="1973" w:type="dxa"/>
            <w:vMerge/>
          </w:tcPr>
          <w:p w14:paraId="4F8D1721" w14:textId="77777777" w:rsidR="000F69FB" w:rsidRPr="003A2270" w:rsidRDefault="000F69FB" w:rsidP="000F69FB">
            <w:pPr>
              <w:pStyle w:val="Table"/>
              <w:ind w:firstLine="0"/>
            </w:pPr>
          </w:p>
        </w:tc>
        <w:tc>
          <w:tcPr>
            <w:tcW w:w="1573" w:type="dxa"/>
            <w:vMerge/>
          </w:tcPr>
          <w:p w14:paraId="72BD2ADF" w14:textId="77777777" w:rsidR="000F69FB" w:rsidRPr="003A2270" w:rsidRDefault="000F69FB" w:rsidP="000F69FB">
            <w:pPr>
              <w:pStyle w:val="Table"/>
              <w:ind w:firstLine="0"/>
            </w:pPr>
          </w:p>
        </w:tc>
        <w:tc>
          <w:tcPr>
            <w:tcW w:w="795" w:type="dxa"/>
          </w:tcPr>
          <w:p w14:paraId="5E229DB4" w14:textId="77777777" w:rsidR="000F69FB" w:rsidRPr="003A2270" w:rsidRDefault="000F69FB" w:rsidP="000F69FB">
            <w:pPr>
              <w:pStyle w:val="Table"/>
              <w:ind w:firstLine="0"/>
            </w:pPr>
            <w:r w:rsidRPr="003A2270">
              <w:t>Right</w:t>
            </w:r>
          </w:p>
        </w:tc>
        <w:tc>
          <w:tcPr>
            <w:tcW w:w="1262" w:type="dxa"/>
          </w:tcPr>
          <w:p w14:paraId="7108E36C" w14:textId="77777777" w:rsidR="000F69FB" w:rsidRPr="003A2270" w:rsidRDefault="000F69FB" w:rsidP="000F69FB">
            <w:pPr>
              <w:pStyle w:val="Table"/>
              <w:ind w:firstLine="0"/>
            </w:pPr>
            <w:r w:rsidRPr="003A2270">
              <w:t>Group</w:t>
            </w:r>
          </w:p>
          <w:p w14:paraId="7D0988B0" w14:textId="77777777" w:rsidR="000F69FB" w:rsidRPr="003A2270" w:rsidRDefault="000F69FB" w:rsidP="000F69FB">
            <w:pPr>
              <w:pStyle w:val="Table"/>
              <w:ind w:firstLine="0"/>
            </w:pPr>
            <w:r w:rsidRPr="003A2270">
              <w:t>Time</w:t>
            </w:r>
          </w:p>
          <w:p w14:paraId="71CDBBD9" w14:textId="77777777" w:rsidR="000F69FB" w:rsidRPr="003A2270" w:rsidRDefault="000F69FB" w:rsidP="000F69FB">
            <w:pPr>
              <w:pStyle w:val="Table"/>
              <w:ind w:firstLine="0"/>
            </w:pPr>
            <w:r w:rsidRPr="003A2270">
              <w:t>Interaction</w:t>
            </w:r>
          </w:p>
        </w:tc>
        <w:tc>
          <w:tcPr>
            <w:tcW w:w="884" w:type="dxa"/>
          </w:tcPr>
          <w:p w14:paraId="7CAC7408" w14:textId="77777777" w:rsidR="000F69FB" w:rsidRPr="003A2270" w:rsidRDefault="000F69FB" w:rsidP="000F69FB">
            <w:pPr>
              <w:pStyle w:val="Table"/>
              <w:ind w:firstLine="0"/>
            </w:pPr>
            <w:r w:rsidRPr="003A2270">
              <w:t>1, 34</w:t>
            </w:r>
          </w:p>
          <w:p w14:paraId="7EEC4F03" w14:textId="77777777" w:rsidR="000F69FB" w:rsidRPr="003A2270" w:rsidRDefault="000F69FB" w:rsidP="000F69FB">
            <w:pPr>
              <w:pStyle w:val="Table"/>
              <w:ind w:firstLine="0"/>
            </w:pPr>
            <w:r w:rsidRPr="003A2270">
              <w:t>4, 136</w:t>
            </w:r>
          </w:p>
          <w:p w14:paraId="4AA02CE3" w14:textId="77777777" w:rsidR="000F69FB" w:rsidRPr="003A2270" w:rsidRDefault="000F69FB" w:rsidP="000F69FB">
            <w:pPr>
              <w:pStyle w:val="Table"/>
              <w:ind w:firstLine="0"/>
            </w:pPr>
            <w:r w:rsidRPr="003A2270">
              <w:t>4, 136</w:t>
            </w:r>
          </w:p>
        </w:tc>
        <w:tc>
          <w:tcPr>
            <w:tcW w:w="984" w:type="dxa"/>
          </w:tcPr>
          <w:p w14:paraId="7DE6D19C" w14:textId="77777777" w:rsidR="000F69FB" w:rsidRPr="003A2270" w:rsidRDefault="000F69FB" w:rsidP="000F69FB">
            <w:pPr>
              <w:pStyle w:val="Table"/>
              <w:ind w:firstLine="0"/>
            </w:pPr>
            <w:r w:rsidRPr="003A2270">
              <w:t>0.009</w:t>
            </w:r>
          </w:p>
          <w:p w14:paraId="1B044303" w14:textId="77777777" w:rsidR="000F69FB" w:rsidRPr="003A2270" w:rsidRDefault="000F69FB" w:rsidP="000F69FB">
            <w:pPr>
              <w:pStyle w:val="Table"/>
              <w:ind w:firstLine="0"/>
            </w:pPr>
            <w:r w:rsidRPr="003A2270">
              <w:t>5.533</w:t>
            </w:r>
          </w:p>
          <w:p w14:paraId="0D8B8EF4" w14:textId="77777777" w:rsidR="000F69FB" w:rsidRPr="003A2270" w:rsidRDefault="000F69FB" w:rsidP="000F69FB">
            <w:pPr>
              <w:pStyle w:val="Table"/>
              <w:ind w:firstLine="0"/>
            </w:pPr>
            <w:r w:rsidRPr="003A2270">
              <w:t>1.399</w:t>
            </w:r>
          </w:p>
        </w:tc>
        <w:tc>
          <w:tcPr>
            <w:tcW w:w="945" w:type="dxa"/>
          </w:tcPr>
          <w:p w14:paraId="3DF7D758" w14:textId="77777777" w:rsidR="000F69FB" w:rsidRPr="003A2270" w:rsidRDefault="000F69FB" w:rsidP="000F69FB">
            <w:pPr>
              <w:pStyle w:val="Table"/>
              <w:ind w:firstLine="0"/>
            </w:pPr>
            <w:r w:rsidRPr="003A2270">
              <w:t>0.925</w:t>
            </w:r>
          </w:p>
          <w:p w14:paraId="680D275A" w14:textId="77777777" w:rsidR="000F69FB" w:rsidRPr="0086576C" w:rsidRDefault="000F69FB" w:rsidP="000F69FB">
            <w:pPr>
              <w:pStyle w:val="Table"/>
              <w:ind w:firstLine="0"/>
              <w:rPr>
                <w:u w:val="single"/>
              </w:rPr>
            </w:pPr>
            <w:r w:rsidRPr="0086576C">
              <w:rPr>
                <w:u w:val="single"/>
              </w:rPr>
              <w:t>&lt;0.001</w:t>
            </w:r>
          </w:p>
          <w:p w14:paraId="5BABA679" w14:textId="77777777" w:rsidR="000F69FB" w:rsidRPr="003A2270" w:rsidRDefault="000F69FB" w:rsidP="000F69FB">
            <w:pPr>
              <w:pStyle w:val="Table"/>
              <w:ind w:firstLine="0"/>
            </w:pPr>
            <w:r w:rsidRPr="003A2270">
              <w:t>0.238</w:t>
            </w:r>
          </w:p>
        </w:tc>
      </w:tr>
    </w:tbl>
    <w:p w14:paraId="1DF0528A" w14:textId="77777777" w:rsidR="000F69FB" w:rsidRPr="003A2270" w:rsidRDefault="000F69FB" w:rsidP="000F69FB">
      <w:pPr>
        <w:pStyle w:val="FigureLegend"/>
      </w:pPr>
    </w:p>
    <w:p w14:paraId="6F5055B6" w14:textId="72D7481C" w:rsidR="000F69FB" w:rsidRDefault="000F69FB" w:rsidP="00D230C9">
      <w:pPr>
        <w:pStyle w:val="FigureLegend"/>
      </w:pPr>
      <w:bookmarkStart w:id="31" w:name="_Toc408487681"/>
      <w:bookmarkStart w:id="32" w:name="_Toc409012774"/>
      <w:bookmarkStart w:id="33" w:name="_Toc409016016"/>
      <w:bookmarkStart w:id="34" w:name="_Toc409082431"/>
      <w:r w:rsidRPr="00A0341C">
        <w:rPr>
          <w:rStyle w:val="FigureLegendBOLDChar"/>
        </w:rPr>
        <w:t xml:space="preserve">Table </w:t>
      </w:r>
      <w:r w:rsidR="00170B20" w:rsidRPr="00A0341C">
        <w:rPr>
          <w:rStyle w:val="FigureLegendBOLDChar"/>
        </w:rPr>
        <w:t>C</w:t>
      </w:r>
      <w:r w:rsidRPr="00A0341C">
        <w:rPr>
          <w:rStyle w:val="FigureLegendBOLDChar"/>
        </w:rPr>
        <w:t>. Results from repeated measure 2-way ANOVA on mean trial power (MTP) from auditory steady-state responses (ASSR).</w:t>
      </w:r>
      <w:r w:rsidRPr="003A2270">
        <w:t xml:space="preserve"> Analysis was performed on values averaged over 100 ms intervals for the first 500 ms after stimulus train start. Significant differences underlined.</w:t>
      </w:r>
      <w:bookmarkStart w:id="35" w:name="_Toc409018326"/>
      <w:bookmarkStart w:id="36" w:name="_Toc409082886"/>
      <w:bookmarkEnd w:id="31"/>
      <w:bookmarkEnd w:id="32"/>
      <w:bookmarkEnd w:id="33"/>
      <w:bookmarkEnd w:id="34"/>
    </w:p>
    <w:bookmarkEnd w:id="35"/>
    <w:bookmarkEnd w:id="36"/>
    <w:p w14:paraId="77F50AC5" w14:textId="0D4D00FD" w:rsidR="000F69FB" w:rsidRPr="003A2270" w:rsidRDefault="00170B20" w:rsidP="00940B25">
      <w:pPr>
        <w:pStyle w:val="Heading3"/>
      </w:pPr>
      <w:r>
        <w:rPr>
          <w:lang w:val="en-US" w:eastAsia="en-AU" w:bidi="en-US"/>
        </w:rPr>
        <w:t>S.2.8 ECG Parameter Statistics</w:t>
      </w:r>
    </w:p>
    <w:tbl>
      <w:tblPr>
        <w:tblStyle w:val="TableGrid"/>
        <w:tblW w:w="0" w:type="auto"/>
        <w:jc w:val="center"/>
        <w:tblLook w:val="04A0" w:firstRow="1" w:lastRow="0" w:firstColumn="1" w:lastColumn="0" w:noHBand="0" w:noVBand="1"/>
      </w:tblPr>
      <w:tblGrid>
        <w:gridCol w:w="3214"/>
        <w:gridCol w:w="884"/>
        <w:gridCol w:w="1117"/>
        <w:gridCol w:w="945"/>
      </w:tblGrid>
      <w:tr w:rsidR="000F69FB" w:rsidRPr="003A2270" w14:paraId="5049FF81" w14:textId="77777777" w:rsidTr="000C26DE">
        <w:trPr>
          <w:jc w:val="center"/>
        </w:trPr>
        <w:tc>
          <w:tcPr>
            <w:tcW w:w="3214" w:type="dxa"/>
          </w:tcPr>
          <w:p w14:paraId="0EAB17E3" w14:textId="77777777" w:rsidR="000F69FB" w:rsidRPr="00FB4C00" w:rsidRDefault="000F69FB" w:rsidP="000F69FB">
            <w:pPr>
              <w:pStyle w:val="Table"/>
              <w:ind w:firstLine="0"/>
              <w:rPr>
                <w:i/>
              </w:rPr>
            </w:pPr>
            <w:r w:rsidRPr="00FB4C00">
              <w:t>ECG Parameter</w:t>
            </w:r>
          </w:p>
        </w:tc>
        <w:tc>
          <w:tcPr>
            <w:tcW w:w="884" w:type="dxa"/>
          </w:tcPr>
          <w:p w14:paraId="54C01DBB" w14:textId="77777777" w:rsidR="000F69FB" w:rsidRPr="00FB4C00" w:rsidRDefault="000F69FB" w:rsidP="000F69FB">
            <w:pPr>
              <w:pStyle w:val="Table"/>
              <w:ind w:firstLine="0"/>
            </w:pPr>
            <w:r w:rsidRPr="00FB4C00">
              <w:t>df</w:t>
            </w:r>
          </w:p>
        </w:tc>
        <w:tc>
          <w:tcPr>
            <w:tcW w:w="1117" w:type="dxa"/>
          </w:tcPr>
          <w:p w14:paraId="69416699" w14:textId="77777777" w:rsidR="000F69FB" w:rsidRPr="00FB4C00" w:rsidRDefault="000F69FB" w:rsidP="000F69FB">
            <w:pPr>
              <w:pStyle w:val="Table"/>
              <w:ind w:firstLine="0"/>
            </w:pPr>
            <w:r w:rsidRPr="00FB4C00">
              <w:t>t-statistic</w:t>
            </w:r>
          </w:p>
        </w:tc>
        <w:tc>
          <w:tcPr>
            <w:tcW w:w="945" w:type="dxa"/>
          </w:tcPr>
          <w:p w14:paraId="0D09E95B" w14:textId="77777777" w:rsidR="000F69FB" w:rsidRPr="00FB4C00" w:rsidRDefault="000F69FB" w:rsidP="000F69FB">
            <w:pPr>
              <w:pStyle w:val="Table"/>
              <w:ind w:firstLine="0"/>
            </w:pPr>
            <w:r w:rsidRPr="00FB4C00">
              <w:t>p-value</w:t>
            </w:r>
          </w:p>
        </w:tc>
      </w:tr>
      <w:tr w:rsidR="000F69FB" w:rsidRPr="003A2270" w14:paraId="43DC48E1" w14:textId="77777777" w:rsidTr="000C26DE">
        <w:trPr>
          <w:jc w:val="center"/>
        </w:trPr>
        <w:tc>
          <w:tcPr>
            <w:tcW w:w="3214" w:type="dxa"/>
          </w:tcPr>
          <w:p w14:paraId="41DBE196" w14:textId="77777777" w:rsidR="000F69FB" w:rsidRPr="00FB4C00" w:rsidRDefault="000F69FB" w:rsidP="000F69FB">
            <w:pPr>
              <w:pStyle w:val="Table"/>
              <w:ind w:firstLine="0"/>
            </w:pPr>
            <w:r w:rsidRPr="00FB4C00">
              <w:t>Heart Rate (BPM)</w:t>
            </w:r>
          </w:p>
        </w:tc>
        <w:tc>
          <w:tcPr>
            <w:tcW w:w="884" w:type="dxa"/>
          </w:tcPr>
          <w:p w14:paraId="2B6A1CA6" w14:textId="77777777" w:rsidR="000F69FB" w:rsidRPr="003A2270" w:rsidRDefault="000F69FB" w:rsidP="000F69FB">
            <w:pPr>
              <w:pStyle w:val="Table"/>
              <w:ind w:firstLine="0"/>
            </w:pPr>
            <w:r w:rsidRPr="003A2270">
              <w:t>34</w:t>
            </w:r>
          </w:p>
        </w:tc>
        <w:tc>
          <w:tcPr>
            <w:tcW w:w="1117" w:type="dxa"/>
          </w:tcPr>
          <w:p w14:paraId="20D9C806" w14:textId="77777777" w:rsidR="000F69FB" w:rsidRPr="003A2270" w:rsidRDefault="000F69FB" w:rsidP="000F69FB">
            <w:pPr>
              <w:pStyle w:val="Table"/>
              <w:ind w:firstLine="0"/>
            </w:pPr>
            <w:r w:rsidRPr="003A2270">
              <w:t>0.774</w:t>
            </w:r>
          </w:p>
        </w:tc>
        <w:tc>
          <w:tcPr>
            <w:tcW w:w="945" w:type="dxa"/>
          </w:tcPr>
          <w:p w14:paraId="5DDB5F1A" w14:textId="77777777" w:rsidR="000F69FB" w:rsidRPr="003A2270" w:rsidRDefault="000F69FB" w:rsidP="000F69FB">
            <w:pPr>
              <w:pStyle w:val="Table"/>
              <w:ind w:firstLine="0"/>
            </w:pPr>
            <w:r w:rsidRPr="003A2270">
              <w:t>0.444</w:t>
            </w:r>
          </w:p>
        </w:tc>
      </w:tr>
      <w:tr w:rsidR="000F69FB" w:rsidRPr="003A2270" w14:paraId="58FE583E" w14:textId="77777777" w:rsidTr="000C26DE">
        <w:trPr>
          <w:jc w:val="center"/>
        </w:trPr>
        <w:tc>
          <w:tcPr>
            <w:tcW w:w="3214" w:type="dxa"/>
          </w:tcPr>
          <w:p w14:paraId="74E4B0CF" w14:textId="77777777" w:rsidR="000F69FB" w:rsidRPr="00FB4C00" w:rsidRDefault="000F69FB" w:rsidP="000F69FB">
            <w:pPr>
              <w:pStyle w:val="Table"/>
              <w:ind w:firstLine="0"/>
            </w:pPr>
            <w:r w:rsidRPr="00FB4C00">
              <w:t>PR Interval (s)</w:t>
            </w:r>
          </w:p>
        </w:tc>
        <w:tc>
          <w:tcPr>
            <w:tcW w:w="884" w:type="dxa"/>
          </w:tcPr>
          <w:p w14:paraId="045FE393" w14:textId="77777777" w:rsidR="000F69FB" w:rsidRPr="003A2270" w:rsidRDefault="000F69FB" w:rsidP="000F69FB">
            <w:pPr>
              <w:pStyle w:val="Table"/>
              <w:ind w:firstLine="0"/>
            </w:pPr>
            <w:r w:rsidRPr="003A2270">
              <w:t>34</w:t>
            </w:r>
          </w:p>
        </w:tc>
        <w:tc>
          <w:tcPr>
            <w:tcW w:w="1117" w:type="dxa"/>
          </w:tcPr>
          <w:p w14:paraId="6DAA20F1" w14:textId="77777777" w:rsidR="000F69FB" w:rsidRPr="003A2270" w:rsidRDefault="000F69FB" w:rsidP="000F69FB">
            <w:pPr>
              <w:pStyle w:val="Table"/>
              <w:ind w:firstLine="0"/>
            </w:pPr>
            <w:r w:rsidRPr="003A2270">
              <w:t>3.470</w:t>
            </w:r>
          </w:p>
        </w:tc>
        <w:tc>
          <w:tcPr>
            <w:tcW w:w="945" w:type="dxa"/>
          </w:tcPr>
          <w:p w14:paraId="32BEB3A4" w14:textId="77777777" w:rsidR="000F69FB" w:rsidRPr="0086576C" w:rsidRDefault="000F69FB" w:rsidP="000F69FB">
            <w:pPr>
              <w:pStyle w:val="Table"/>
              <w:ind w:firstLine="0"/>
              <w:rPr>
                <w:u w:val="single"/>
              </w:rPr>
            </w:pPr>
            <w:r w:rsidRPr="0086576C">
              <w:rPr>
                <w:u w:val="single"/>
              </w:rPr>
              <w:t>&lt;0.01</w:t>
            </w:r>
          </w:p>
        </w:tc>
      </w:tr>
      <w:tr w:rsidR="000F69FB" w:rsidRPr="003A2270" w14:paraId="13F40B52" w14:textId="77777777" w:rsidTr="000C26DE">
        <w:trPr>
          <w:jc w:val="center"/>
        </w:trPr>
        <w:tc>
          <w:tcPr>
            <w:tcW w:w="3214" w:type="dxa"/>
          </w:tcPr>
          <w:p w14:paraId="308C2F2C" w14:textId="77777777" w:rsidR="000F69FB" w:rsidRPr="00FB4C00" w:rsidRDefault="000F69FB" w:rsidP="000F69FB">
            <w:pPr>
              <w:pStyle w:val="Table"/>
              <w:ind w:firstLine="0"/>
            </w:pPr>
            <w:r w:rsidRPr="00FB4C00">
              <w:t>P duration (s)</w:t>
            </w:r>
          </w:p>
        </w:tc>
        <w:tc>
          <w:tcPr>
            <w:tcW w:w="884" w:type="dxa"/>
          </w:tcPr>
          <w:p w14:paraId="0CFA6D00" w14:textId="77777777" w:rsidR="000F69FB" w:rsidRPr="003A2270" w:rsidRDefault="000F69FB" w:rsidP="000F69FB">
            <w:pPr>
              <w:pStyle w:val="Table"/>
              <w:ind w:firstLine="0"/>
            </w:pPr>
            <w:r w:rsidRPr="003A2270">
              <w:t>34</w:t>
            </w:r>
          </w:p>
        </w:tc>
        <w:tc>
          <w:tcPr>
            <w:tcW w:w="1117" w:type="dxa"/>
          </w:tcPr>
          <w:p w14:paraId="7E344D72" w14:textId="77777777" w:rsidR="000F69FB" w:rsidRPr="003A2270" w:rsidRDefault="000F69FB" w:rsidP="000F69FB">
            <w:pPr>
              <w:pStyle w:val="Table"/>
              <w:ind w:firstLine="0"/>
            </w:pPr>
            <w:r w:rsidRPr="003A2270">
              <w:t>3.487</w:t>
            </w:r>
          </w:p>
        </w:tc>
        <w:tc>
          <w:tcPr>
            <w:tcW w:w="945" w:type="dxa"/>
          </w:tcPr>
          <w:p w14:paraId="378C1450" w14:textId="77777777" w:rsidR="000F69FB" w:rsidRPr="0086576C" w:rsidRDefault="000F69FB" w:rsidP="000F69FB">
            <w:pPr>
              <w:pStyle w:val="Table"/>
              <w:ind w:firstLine="0"/>
              <w:rPr>
                <w:u w:val="single"/>
              </w:rPr>
            </w:pPr>
            <w:r w:rsidRPr="0086576C">
              <w:rPr>
                <w:u w:val="single"/>
              </w:rPr>
              <w:t>&lt;0.01</w:t>
            </w:r>
          </w:p>
        </w:tc>
      </w:tr>
      <w:tr w:rsidR="000F69FB" w:rsidRPr="003A2270" w14:paraId="37062452" w14:textId="77777777" w:rsidTr="000C26DE">
        <w:trPr>
          <w:jc w:val="center"/>
        </w:trPr>
        <w:tc>
          <w:tcPr>
            <w:tcW w:w="3214" w:type="dxa"/>
          </w:tcPr>
          <w:p w14:paraId="1462FC7E" w14:textId="77777777" w:rsidR="000F69FB" w:rsidRPr="00FB4C00" w:rsidRDefault="000F69FB" w:rsidP="000F69FB">
            <w:pPr>
              <w:pStyle w:val="Table"/>
              <w:ind w:firstLine="0"/>
            </w:pPr>
            <w:r w:rsidRPr="00FB4C00">
              <w:t>QRS Interval (s)</w:t>
            </w:r>
          </w:p>
        </w:tc>
        <w:tc>
          <w:tcPr>
            <w:tcW w:w="884" w:type="dxa"/>
          </w:tcPr>
          <w:p w14:paraId="347D2DFD" w14:textId="77777777" w:rsidR="000F69FB" w:rsidRPr="003A2270" w:rsidRDefault="000F69FB" w:rsidP="000F69FB">
            <w:pPr>
              <w:pStyle w:val="Table"/>
              <w:ind w:firstLine="0"/>
            </w:pPr>
            <w:r w:rsidRPr="003A2270">
              <w:t>34</w:t>
            </w:r>
          </w:p>
        </w:tc>
        <w:tc>
          <w:tcPr>
            <w:tcW w:w="1117" w:type="dxa"/>
          </w:tcPr>
          <w:p w14:paraId="415A0FF0" w14:textId="77777777" w:rsidR="000F69FB" w:rsidRPr="003A2270" w:rsidRDefault="000F69FB" w:rsidP="000F69FB">
            <w:pPr>
              <w:pStyle w:val="Table"/>
              <w:ind w:firstLine="0"/>
            </w:pPr>
            <w:r w:rsidRPr="003A2270">
              <w:t>2.049</w:t>
            </w:r>
          </w:p>
        </w:tc>
        <w:tc>
          <w:tcPr>
            <w:tcW w:w="945" w:type="dxa"/>
          </w:tcPr>
          <w:p w14:paraId="3722398A" w14:textId="77777777" w:rsidR="000F69FB" w:rsidRPr="0086576C" w:rsidRDefault="000F69FB" w:rsidP="000F69FB">
            <w:pPr>
              <w:pStyle w:val="Table"/>
              <w:ind w:firstLine="0"/>
              <w:rPr>
                <w:u w:val="single"/>
              </w:rPr>
            </w:pPr>
            <w:r w:rsidRPr="0086576C">
              <w:rPr>
                <w:u w:val="single"/>
              </w:rPr>
              <w:t>&lt;0.05</w:t>
            </w:r>
          </w:p>
        </w:tc>
      </w:tr>
      <w:tr w:rsidR="000F69FB" w:rsidRPr="003A2270" w14:paraId="052DBFAE" w14:textId="77777777" w:rsidTr="000C26DE">
        <w:trPr>
          <w:jc w:val="center"/>
        </w:trPr>
        <w:tc>
          <w:tcPr>
            <w:tcW w:w="3214" w:type="dxa"/>
          </w:tcPr>
          <w:p w14:paraId="01AC38AE" w14:textId="77777777" w:rsidR="000F69FB" w:rsidRPr="00FB4C00" w:rsidRDefault="000F69FB" w:rsidP="000F69FB">
            <w:pPr>
              <w:pStyle w:val="Table"/>
              <w:ind w:firstLine="0"/>
            </w:pPr>
            <w:r w:rsidRPr="00FB4C00">
              <w:t>QT Interval (s)</w:t>
            </w:r>
          </w:p>
        </w:tc>
        <w:tc>
          <w:tcPr>
            <w:tcW w:w="884" w:type="dxa"/>
          </w:tcPr>
          <w:p w14:paraId="47072B59" w14:textId="77777777" w:rsidR="000F69FB" w:rsidRPr="003A2270" w:rsidRDefault="000F69FB" w:rsidP="000F69FB">
            <w:pPr>
              <w:pStyle w:val="Table"/>
              <w:ind w:firstLine="0"/>
            </w:pPr>
            <w:r w:rsidRPr="003A2270">
              <w:t>33</w:t>
            </w:r>
          </w:p>
        </w:tc>
        <w:tc>
          <w:tcPr>
            <w:tcW w:w="1117" w:type="dxa"/>
          </w:tcPr>
          <w:p w14:paraId="7916E1C1" w14:textId="77777777" w:rsidR="000F69FB" w:rsidRPr="003A2270" w:rsidRDefault="000F69FB" w:rsidP="000F69FB">
            <w:pPr>
              <w:pStyle w:val="Table"/>
              <w:ind w:firstLine="0"/>
            </w:pPr>
            <w:r w:rsidRPr="003A2270">
              <w:t>1.141</w:t>
            </w:r>
          </w:p>
        </w:tc>
        <w:tc>
          <w:tcPr>
            <w:tcW w:w="945" w:type="dxa"/>
          </w:tcPr>
          <w:p w14:paraId="7DDF9395" w14:textId="77777777" w:rsidR="000F69FB" w:rsidRPr="003A2270" w:rsidRDefault="000F69FB" w:rsidP="000F69FB">
            <w:pPr>
              <w:pStyle w:val="Table"/>
              <w:ind w:firstLine="0"/>
            </w:pPr>
            <w:r w:rsidRPr="003A2270">
              <w:t>0.262</w:t>
            </w:r>
          </w:p>
        </w:tc>
      </w:tr>
      <w:tr w:rsidR="000F69FB" w:rsidRPr="003A2270" w14:paraId="0FC22F6A" w14:textId="77777777" w:rsidTr="000C26DE">
        <w:trPr>
          <w:jc w:val="center"/>
        </w:trPr>
        <w:tc>
          <w:tcPr>
            <w:tcW w:w="3214" w:type="dxa"/>
          </w:tcPr>
          <w:p w14:paraId="471F3620" w14:textId="77777777" w:rsidR="000F69FB" w:rsidRPr="00FB4C00" w:rsidRDefault="000F69FB" w:rsidP="000F69FB">
            <w:pPr>
              <w:pStyle w:val="Table"/>
              <w:ind w:firstLine="0"/>
            </w:pPr>
            <w:r w:rsidRPr="00FB4C00">
              <w:t>Low Frequency/ High Frequency</w:t>
            </w:r>
          </w:p>
          <w:p w14:paraId="136C4125" w14:textId="77777777" w:rsidR="000F69FB" w:rsidRPr="00FB4C00" w:rsidRDefault="000F69FB" w:rsidP="000F69FB">
            <w:pPr>
              <w:pStyle w:val="Table"/>
              <w:ind w:firstLine="0"/>
              <w:rPr>
                <w:vertAlign w:val="superscript"/>
              </w:rPr>
            </w:pPr>
            <w:r w:rsidRPr="00FB4C00">
              <w:t>Power Ratio</w:t>
            </w:r>
            <w:r w:rsidRPr="00FB4C00">
              <w:rPr>
                <w:vertAlign w:val="superscript"/>
              </w:rPr>
              <w:t xml:space="preserve"> A</w:t>
            </w:r>
          </w:p>
        </w:tc>
        <w:tc>
          <w:tcPr>
            <w:tcW w:w="884" w:type="dxa"/>
          </w:tcPr>
          <w:p w14:paraId="3B0BE1E9" w14:textId="77777777" w:rsidR="000F69FB" w:rsidRPr="003A2270" w:rsidRDefault="000F69FB" w:rsidP="000F69FB">
            <w:pPr>
              <w:pStyle w:val="Table"/>
              <w:ind w:firstLine="0"/>
            </w:pPr>
            <w:r w:rsidRPr="003A2270">
              <w:t>24</w:t>
            </w:r>
          </w:p>
        </w:tc>
        <w:tc>
          <w:tcPr>
            <w:tcW w:w="1117" w:type="dxa"/>
          </w:tcPr>
          <w:p w14:paraId="51E68DB2" w14:textId="77777777" w:rsidR="000F69FB" w:rsidRPr="003A2270" w:rsidRDefault="000F69FB" w:rsidP="000F69FB">
            <w:pPr>
              <w:pStyle w:val="Table"/>
              <w:ind w:firstLine="0"/>
            </w:pPr>
            <w:r w:rsidRPr="003A2270">
              <w:t>1.248</w:t>
            </w:r>
          </w:p>
        </w:tc>
        <w:tc>
          <w:tcPr>
            <w:tcW w:w="945" w:type="dxa"/>
          </w:tcPr>
          <w:p w14:paraId="14D6CEA4" w14:textId="77777777" w:rsidR="000F69FB" w:rsidRPr="003A2270" w:rsidRDefault="000F69FB" w:rsidP="000F69FB">
            <w:pPr>
              <w:pStyle w:val="Table"/>
              <w:ind w:firstLine="0"/>
            </w:pPr>
            <w:r w:rsidRPr="003A2270">
              <w:t>0.224</w:t>
            </w:r>
          </w:p>
        </w:tc>
      </w:tr>
    </w:tbl>
    <w:p w14:paraId="27A1B413" w14:textId="14DEC7C9" w:rsidR="000F69FB" w:rsidRPr="003A2270" w:rsidRDefault="000F69FB" w:rsidP="00A0341C">
      <w:pPr>
        <w:pStyle w:val="FigureLegendBOLD"/>
      </w:pPr>
      <w:bookmarkStart w:id="37" w:name="_Toc408487682"/>
      <w:bookmarkStart w:id="38" w:name="_Toc409012775"/>
      <w:bookmarkStart w:id="39" w:name="_Toc409016017"/>
      <w:bookmarkStart w:id="40" w:name="_Toc409082432"/>
      <w:r w:rsidRPr="003A2270">
        <w:t xml:space="preserve">Table </w:t>
      </w:r>
      <w:r w:rsidR="00012545">
        <w:t>D</w:t>
      </w:r>
      <w:r w:rsidRPr="003A2270">
        <w:t xml:space="preserve">. Differences in ECG parameters between dexamethasone and control animals. </w:t>
      </w:r>
      <w:r w:rsidRPr="00A0341C">
        <w:rPr>
          <w:b w:val="0"/>
        </w:rPr>
        <w:t xml:space="preserve">Comparisons using unpaired t-tests. Significant differences underlined. Key: </w:t>
      </w:r>
      <w:r w:rsidRPr="00A0341C">
        <w:rPr>
          <w:b w:val="0"/>
          <w:vertAlign w:val="superscript"/>
        </w:rPr>
        <w:t>A</w:t>
      </w:r>
      <w:r w:rsidRPr="00A0341C">
        <w:rPr>
          <w:b w:val="0"/>
        </w:rPr>
        <w:t xml:space="preserve"> t-test using Welch’s correction for unequal variances.</w:t>
      </w:r>
      <w:bookmarkEnd w:id="37"/>
      <w:bookmarkEnd w:id="38"/>
      <w:bookmarkEnd w:id="39"/>
      <w:bookmarkEnd w:id="40"/>
    </w:p>
    <w:p w14:paraId="74624DA9" w14:textId="5E2BA95F" w:rsidR="003A4547" w:rsidRDefault="003A4547">
      <w:pPr>
        <w:rPr>
          <w:rFonts w:ascii="Times New Roman" w:eastAsiaTheme="minorEastAsia" w:hAnsi="Times New Roman"/>
          <w:color w:val="000000" w:themeColor="text1"/>
          <w:sz w:val="20"/>
          <w:szCs w:val="24"/>
          <w:lang w:val="en-US" w:eastAsia="en-AU" w:bidi="en-US"/>
        </w:rPr>
      </w:pPr>
    </w:p>
    <w:p w14:paraId="7A4A458D" w14:textId="77777777" w:rsidR="00570192" w:rsidRPr="003A4547" w:rsidRDefault="003A4547" w:rsidP="003A4547">
      <w:pPr>
        <w:pStyle w:val="Heading1"/>
      </w:pPr>
      <w:r w:rsidRPr="003A4547">
        <w:t>Supplementary Data References</w:t>
      </w:r>
    </w:p>
    <w:p w14:paraId="22056C80" w14:textId="77777777" w:rsidR="00170B20" w:rsidRPr="00170B20" w:rsidRDefault="00570192" w:rsidP="00170B20">
      <w:pPr>
        <w:pStyle w:val="EndNoteBibliography"/>
        <w:spacing w:after="0"/>
      </w:pPr>
      <w:r>
        <w:fldChar w:fldCharType="begin"/>
      </w:r>
      <w:r>
        <w:instrText xml:space="preserve"> ADDIN EN.REFLIST </w:instrText>
      </w:r>
      <w:r>
        <w:fldChar w:fldCharType="separate"/>
      </w:r>
      <w:r w:rsidR="00170B20" w:rsidRPr="00170B20">
        <w:t>1.</w:t>
      </w:r>
      <w:r w:rsidR="00170B20" w:rsidRPr="00170B20">
        <w:tab/>
        <w:t>Yates N, Robertson D, Martin-Iverson M, Rodger J. Auditory Brainstem Responses of Ephrin-A2-/-, Ephrin-A5-/-and Ephrin-A2A5-/-Mice. Audiology and Neurotology. 2014;19(2):115-26.</w:t>
      </w:r>
    </w:p>
    <w:p w14:paraId="3CA34788" w14:textId="1F936F61" w:rsidR="00170B20" w:rsidRPr="00170B20" w:rsidRDefault="00170B20" w:rsidP="00170B20">
      <w:pPr>
        <w:pStyle w:val="EndNoteBibliography"/>
        <w:spacing w:after="0"/>
      </w:pPr>
      <w:r w:rsidRPr="00170B20">
        <w:t>2.</w:t>
      </w:r>
      <w:r w:rsidRPr="00170B20">
        <w:tab/>
        <w:t xml:space="preserve">Knight RT, Brailowsky S, Scabini D, Simpson GV. Surface auditory evoked potentials in the unrestrained rat: component definition. Electroencephalography and clinical neurophysiology. 1985;61(5):430-9. doi: </w:t>
      </w:r>
      <w:hyperlink r:id="rId14" w:history="1">
        <w:r w:rsidRPr="00170B20">
          <w:rPr>
            <w:rStyle w:val="Hyperlink"/>
          </w:rPr>
          <w:t>http://dx.doi.org/10.1016/0013-4694(85)91035-1</w:t>
        </w:r>
      </w:hyperlink>
      <w:r w:rsidRPr="00170B20">
        <w:t>.</w:t>
      </w:r>
    </w:p>
    <w:p w14:paraId="56B76715" w14:textId="77777777" w:rsidR="00170B20" w:rsidRPr="00170B20" w:rsidRDefault="00170B20" w:rsidP="00170B20">
      <w:pPr>
        <w:pStyle w:val="EndNoteBibliography"/>
        <w:spacing w:after="0"/>
      </w:pPr>
      <w:r w:rsidRPr="00170B20">
        <w:t>3.</w:t>
      </w:r>
      <w:r w:rsidRPr="00170B20">
        <w:tab/>
        <w:t>de Bruin NMWJ, Ellenbroek BA, van Schaijk WJ, Cools AR, Coenen AML, van Luijtelaar ELJM. Sensory gating of auditory evoked potentials in rats: effects of repetitive stimulation and the interstimulus interval. Biological Psychology. 2001;55(3):195-213. doi: 10.1016/s0301-0511(00)00084-3.</w:t>
      </w:r>
    </w:p>
    <w:p w14:paraId="65905ECD" w14:textId="77777777" w:rsidR="00170B20" w:rsidRPr="00170B20" w:rsidRDefault="00170B20" w:rsidP="00170B20">
      <w:pPr>
        <w:pStyle w:val="EndNoteBibliography"/>
        <w:spacing w:after="0"/>
      </w:pPr>
      <w:r w:rsidRPr="00170B20">
        <w:t>4.</w:t>
      </w:r>
      <w:r w:rsidRPr="00170B20">
        <w:tab/>
        <w:t>Vohs JL, Andrew Chambers R, Krishnan GP, O'Donnell BF, Berg S, Morzorati SL. GABAergic modulation of the 40 Hz auditory steady-state response in a rat model of schizophrenia. The International Journal of Neuropsychopharmacology. 2010;13(04):487-97. doi: doi:10.1017/S1461145709990307.</w:t>
      </w:r>
    </w:p>
    <w:p w14:paraId="68759728" w14:textId="77777777" w:rsidR="00170B20" w:rsidRPr="00170B20" w:rsidRDefault="00170B20" w:rsidP="00170B20">
      <w:pPr>
        <w:pStyle w:val="EndNoteBibliography"/>
        <w:spacing w:after="0"/>
      </w:pPr>
      <w:r w:rsidRPr="00170B20">
        <w:t>5.</w:t>
      </w:r>
      <w:r w:rsidRPr="00170B20">
        <w:tab/>
        <w:t>Roach BJ, Mathalon DH. Event-Related EEG Time-Frequency Analysis: An Overview of Measures and An Analysis of Early Gamma Band Phase Locking in Schizophrenia. Schizophrenia Bulletin. 2008;34(5):907-26. doi: 10.1093/schbul/sbn093.</w:t>
      </w:r>
    </w:p>
    <w:p w14:paraId="6326B9C5" w14:textId="2B29EAB0" w:rsidR="00170B20" w:rsidRPr="00170B20" w:rsidRDefault="00170B20" w:rsidP="00170B20">
      <w:pPr>
        <w:pStyle w:val="EndNoteBibliography"/>
      </w:pPr>
      <w:r w:rsidRPr="00170B20">
        <w:t>6.</w:t>
      </w:r>
      <w:r w:rsidRPr="00170B20">
        <w:tab/>
        <w:t xml:space="preserve">Sabeti M, Katebi S, Boostani R. Entropy and complexity measures for EEG signal classification of schizophrenic and control participants. Artificial Intelligence in Medicine. 2009;47(3):263-74. doi: </w:t>
      </w:r>
      <w:hyperlink r:id="rId15" w:history="1">
        <w:r w:rsidRPr="00170B20">
          <w:rPr>
            <w:rStyle w:val="Hyperlink"/>
          </w:rPr>
          <w:t>http://dx.doi.org/10.1016/j.artmed.2009.03.003</w:t>
        </w:r>
      </w:hyperlink>
      <w:r w:rsidRPr="00170B20">
        <w:t>.</w:t>
      </w:r>
    </w:p>
    <w:p w14:paraId="0C5D89B7" w14:textId="3D7596CB" w:rsidR="0021647B" w:rsidRPr="005B2B2A" w:rsidRDefault="00570192" w:rsidP="005B2B2A">
      <w:pPr>
        <w:pStyle w:val="FigureLegend"/>
      </w:pPr>
      <w:r>
        <w:fldChar w:fldCharType="end"/>
      </w:r>
    </w:p>
    <w:sectPr w:rsidR="0021647B" w:rsidRPr="005B2B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107E" w14:textId="77777777" w:rsidR="00903FE6" w:rsidRDefault="00903FE6" w:rsidP="000F69FB">
      <w:pPr>
        <w:spacing w:after="0" w:line="240" w:lineRule="auto"/>
      </w:pPr>
      <w:r>
        <w:separator/>
      </w:r>
    </w:p>
  </w:endnote>
  <w:endnote w:type="continuationSeparator" w:id="0">
    <w:p w14:paraId="6045202F" w14:textId="77777777" w:rsidR="00903FE6" w:rsidRDefault="00903FE6" w:rsidP="000F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7E8F" w14:textId="77777777" w:rsidR="00903FE6" w:rsidRDefault="00903FE6" w:rsidP="000F69FB">
      <w:pPr>
        <w:spacing w:after="0" w:line="240" w:lineRule="auto"/>
      </w:pPr>
      <w:r>
        <w:separator/>
      </w:r>
    </w:p>
  </w:footnote>
  <w:footnote w:type="continuationSeparator" w:id="0">
    <w:p w14:paraId="71D08EB4" w14:textId="77777777" w:rsidR="00903FE6" w:rsidRDefault="00903FE6" w:rsidP="000F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3D15"/>
    <w:multiLevelType w:val="multilevel"/>
    <w:tmpl w:val="28802C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A4744F9"/>
    <w:multiLevelType w:val="multilevel"/>
    <w:tmpl w:val="A816CAA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242CD"/>
    <w:rsid w:val="00012545"/>
    <w:rsid w:val="0002279F"/>
    <w:rsid w:val="00030D54"/>
    <w:rsid w:val="00071042"/>
    <w:rsid w:val="000A4F32"/>
    <w:rsid w:val="000C26DE"/>
    <w:rsid w:val="000C5F43"/>
    <w:rsid w:val="000D19AC"/>
    <w:rsid w:val="000F4222"/>
    <w:rsid w:val="000F69FB"/>
    <w:rsid w:val="001143DB"/>
    <w:rsid w:val="00125D08"/>
    <w:rsid w:val="00161652"/>
    <w:rsid w:val="00162A31"/>
    <w:rsid w:val="00165DDD"/>
    <w:rsid w:val="00170B20"/>
    <w:rsid w:val="0017692F"/>
    <w:rsid w:val="001C3C38"/>
    <w:rsid w:val="001E4065"/>
    <w:rsid w:val="001F0267"/>
    <w:rsid w:val="00207039"/>
    <w:rsid w:val="00207AAA"/>
    <w:rsid w:val="0021647B"/>
    <w:rsid w:val="002319FE"/>
    <w:rsid w:val="002337E6"/>
    <w:rsid w:val="002446C7"/>
    <w:rsid w:val="00256AFC"/>
    <w:rsid w:val="002A43B8"/>
    <w:rsid w:val="002B4740"/>
    <w:rsid w:val="002B48D2"/>
    <w:rsid w:val="002F4436"/>
    <w:rsid w:val="00316CC7"/>
    <w:rsid w:val="0032052A"/>
    <w:rsid w:val="003214CA"/>
    <w:rsid w:val="00350563"/>
    <w:rsid w:val="003631E2"/>
    <w:rsid w:val="00371F4C"/>
    <w:rsid w:val="003769B3"/>
    <w:rsid w:val="003800EE"/>
    <w:rsid w:val="00391AAB"/>
    <w:rsid w:val="003A4379"/>
    <w:rsid w:val="003A4547"/>
    <w:rsid w:val="003A6F0B"/>
    <w:rsid w:val="003D76A3"/>
    <w:rsid w:val="003F0817"/>
    <w:rsid w:val="00416667"/>
    <w:rsid w:val="004242E2"/>
    <w:rsid w:val="004548D0"/>
    <w:rsid w:val="0046284B"/>
    <w:rsid w:val="00466FB5"/>
    <w:rsid w:val="004B5418"/>
    <w:rsid w:val="004D6427"/>
    <w:rsid w:val="004E5E4B"/>
    <w:rsid w:val="004E6464"/>
    <w:rsid w:val="004F49F8"/>
    <w:rsid w:val="00517816"/>
    <w:rsid w:val="00517C97"/>
    <w:rsid w:val="00522504"/>
    <w:rsid w:val="00570192"/>
    <w:rsid w:val="005822C1"/>
    <w:rsid w:val="005B2B2A"/>
    <w:rsid w:val="005E5FB2"/>
    <w:rsid w:val="00614E5A"/>
    <w:rsid w:val="006A09A4"/>
    <w:rsid w:val="006B1B25"/>
    <w:rsid w:val="006D4FDE"/>
    <w:rsid w:val="007075DD"/>
    <w:rsid w:val="007243BF"/>
    <w:rsid w:val="00746AB9"/>
    <w:rsid w:val="00784A0D"/>
    <w:rsid w:val="007A0006"/>
    <w:rsid w:val="007B050B"/>
    <w:rsid w:val="007B6F32"/>
    <w:rsid w:val="007F6325"/>
    <w:rsid w:val="008021D1"/>
    <w:rsid w:val="008261E1"/>
    <w:rsid w:val="00833B54"/>
    <w:rsid w:val="00863808"/>
    <w:rsid w:val="0086576C"/>
    <w:rsid w:val="00871444"/>
    <w:rsid w:val="00880B17"/>
    <w:rsid w:val="00903FE6"/>
    <w:rsid w:val="0090529D"/>
    <w:rsid w:val="00926983"/>
    <w:rsid w:val="00930949"/>
    <w:rsid w:val="00937B22"/>
    <w:rsid w:val="00940B25"/>
    <w:rsid w:val="00950479"/>
    <w:rsid w:val="0095291F"/>
    <w:rsid w:val="009B4EA8"/>
    <w:rsid w:val="009C56A8"/>
    <w:rsid w:val="00A012DA"/>
    <w:rsid w:val="00A0341C"/>
    <w:rsid w:val="00A203F9"/>
    <w:rsid w:val="00A21C6F"/>
    <w:rsid w:val="00A23708"/>
    <w:rsid w:val="00A51B26"/>
    <w:rsid w:val="00A743FE"/>
    <w:rsid w:val="00AA7DDE"/>
    <w:rsid w:val="00AF16E0"/>
    <w:rsid w:val="00B13BB7"/>
    <w:rsid w:val="00B242CD"/>
    <w:rsid w:val="00B32D5B"/>
    <w:rsid w:val="00B43122"/>
    <w:rsid w:val="00B74953"/>
    <w:rsid w:val="00BC35A1"/>
    <w:rsid w:val="00BE6EC3"/>
    <w:rsid w:val="00BF1688"/>
    <w:rsid w:val="00C052D5"/>
    <w:rsid w:val="00C13BCE"/>
    <w:rsid w:val="00C16014"/>
    <w:rsid w:val="00C3691C"/>
    <w:rsid w:val="00C41A71"/>
    <w:rsid w:val="00C562FB"/>
    <w:rsid w:val="00C93182"/>
    <w:rsid w:val="00CA5786"/>
    <w:rsid w:val="00CD2B9E"/>
    <w:rsid w:val="00D230C9"/>
    <w:rsid w:val="00D733DD"/>
    <w:rsid w:val="00D73BD7"/>
    <w:rsid w:val="00D75C78"/>
    <w:rsid w:val="00D8112F"/>
    <w:rsid w:val="00DA0877"/>
    <w:rsid w:val="00DA3040"/>
    <w:rsid w:val="00DD6909"/>
    <w:rsid w:val="00DE583C"/>
    <w:rsid w:val="00E0583C"/>
    <w:rsid w:val="00E27ABB"/>
    <w:rsid w:val="00E4480A"/>
    <w:rsid w:val="00E577C7"/>
    <w:rsid w:val="00E62B6C"/>
    <w:rsid w:val="00ED22E8"/>
    <w:rsid w:val="00EE5D05"/>
    <w:rsid w:val="00F80D74"/>
    <w:rsid w:val="00F87557"/>
    <w:rsid w:val="00F9500A"/>
    <w:rsid w:val="00FA0283"/>
    <w:rsid w:val="00FD2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B38"/>
  <w15:chartTrackingRefBased/>
  <w15:docId w15:val="{B32C6338-D174-4AA9-82B2-D5F08D63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1647B"/>
    <w:pPr>
      <w:keepNext/>
      <w:keepLines/>
      <w:spacing w:before="120" w:after="240" w:line="240" w:lineRule="auto"/>
      <w:outlineLvl w:val="0"/>
    </w:pPr>
    <w:rPr>
      <w:rFonts w:ascii="Times New Roman" w:eastAsiaTheme="majorEastAsia" w:hAnsi="Times New Roman" w:cs="Times New Roman"/>
      <w:b/>
      <w:bCs/>
      <w:noProof/>
      <w:color w:val="000000" w:themeColor="text1"/>
      <w:sz w:val="28"/>
      <w:szCs w:val="28"/>
      <w:lang w:val="en-US" w:eastAsia="en-AU" w:bidi="en-US"/>
    </w:rPr>
  </w:style>
  <w:style w:type="paragraph" w:styleId="Heading2">
    <w:name w:val="heading 2"/>
    <w:basedOn w:val="Normal"/>
    <w:next w:val="Normal"/>
    <w:link w:val="Heading2Char"/>
    <w:autoRedefine/>
    <w:uiPriority w:val="9"/>
    <w:unhideWhenUsed/>
    <w:qFormat/>
    <w:rsid w:val="00C3691C"/>
    <w:pPr>
      <w:keepNext/>
      <w:keepLines/>
      <w:spacing w:before="120" w:after="240" w:line="240" w:lineRule="auto"/>
      <w:contextualSpacing/>
      <w:outlineLvl w:val="1"/>
    </w:pPr>
    <w:rPr>
      <w:rFonts w:ascii="Times New Roman" w:eastAsiaTheme="majorEastAsia" w:hAnsi="Times New Roman" w:cstheme="majorBidi"/>
      <w:b/>
      <w:bCs/>
      <w:i/>
      <w:color w:val="000000" w:themeColor="text1"/>
      <w:sz w:val="32"/>
      <w:szCs w:val="24"/>
      <w:lang w:val="en-US" w:eastAsia="en-AU" w:bidi="en-US"/>
    </w:rPr>
  </w:style>
  <w:style w:type="paragraph" w:styleId="Heading3">
    <w:name w:val="heading 3"/>
    <w:basedOn w:val="Normal"/>
    <w:next w:val="Normal"/>
    <w:link w:val="Heading3Char"/>
    <w:autoRedefine/>
    <w:uiPriority w:val="9"/>
    <w:unhideWhenUsed/>
    <w:qFormat/>
    <w:rsid w:val="000A4F32"/>
    <w:pPr>
      <w:keepNext/>
      <w:keepLines/>
      <w:spacing w:before="120" w:after="240" w:line="240" w:lineRule="auto"/>
      <w:outlineLvl w:val="2"/>
    </w:pPr>
    <w:rPr>
      <w:rFonts w:ascii="Times New Roman" w:eastAsiaTheme="majorEastAsia" w:hAnsi="Times New Roman" w:cstheme="majorBidi"/>
      <w:bCs/>
      <w:i/>
      <w:color w:val="000000" w:themeColor="text1"/>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47B"/>
    <w:rPr>
      <w:rFonts w:ascii="Times New Roman" w:eastAsiaTheme="majorEastAsia" w:hAnsi="Times New Roman" w:cs="Times New Roman"/>
      <w:b/>
      <w:bCs/>
      <w:noProof/>
      <w:color w:val="000000" w:themeColor="text1"/>
      <w:sz w:val="28"/>
      <w:szCs w:val="28"/>
      <w:lang w:val="en-US" w:eastAsia="en-AU" w:bidi="en-US"/>
    </w:rPr>
  </w:style>
  <w:style w:type="character" w:customStyle="1" w:styleId="Heading2Char">
    <w:name w:val="Heading 2 Char"/>
    <w:basedOn w:val="DefaultParagraphFont"/>
    <w:link w:val="Heading2"/>
    <w:uiPriority w:val="9"/>
    <w:rsid w:val="00C3691C"/>
    <w:rPr>
      <w:rFonts w:ascii="Times New Roman" w:eastAsiaTheme="majorEastAsia" w:hAnsi="Times New Roman" w:cstheme="majorBidi"/>
      <w:b/>
      <w:bCs/>
      <w:i/>
      <w:color w:val="000000" w:themeColor="text1"/>
      <w:sz w:val="32"/>
      <w:szCs w:val="24"/>
      <w:lang w:val="en-US" w:eastAsia="en-AU" w:bidi="en-US"/>
    </w:rPr>
  </w:style>
  <w:style w:type="character" w:customStyle="1" w:styleId="Heading3Char">
    <w:name w:val="Heading 3 Char"/>
    <w:basedOn w:val="DefaultParagraphFont"/>
    <w:link w:val="Heading3"/>
    <w:uiPriority w:val="9"/>
    <w:rsid w:val="000A4F32"/>
    <w:rPr>
      <w:rFonts w:ascii="Times New Roman" w:eastAsiaTheme="majorEastAsia" w:hAnsi="Times New Roman" w:cstheme="majorBidi"/>
      <w:bCs/>
      <w:i/>
      <w:color w:val="000000" w:themeColor="text1"/>
      <w:kern w:val="1"/>
      <w:sz w:val="24"/>
      <w:szCs w:val="24"/>
    </w:rPr>
  </w:style>
  <w:style w:type="paragraph" w:customStyle="1" w:styleId="FigureLegend">
    <w:name w:val="Figure Legend"/>
    <w:basedOn w:val="Normal"/>
    <w:link w:val="FigureLegendChar"/>
    <w:autoRedefine/>
    <w:qFormat/>
    <w:rsid w:val="0021647B"/>
    <w:pPr>
      <w:spacing w:after="240" w:line="240" w:lineRule="auto"/>
      <w:contextualSpacing/>
      <w:jc w:val="both"/>
    </w:pPr>
    <w:rPr>
      <w:rFonts w:ascii="Times New Roman" w:eastAsiaTheme="minorEastAsia" w:hAnsi="Times New Roman"/>
      <w:color w:val="000000" w:themeColor="text1"/>
      <w:sz w:val="20"/>
      <w:szCs w:val="24"/>
      <w:lang w:val="en-US" w:eastAsia="en-AU" w:bidi="en-US"/>
    </w:rPr>
  </w:style>
  <w:style w:type="character" w:customStyle="1" w:styleId="FigureLegendChar">
    <w:name w:val="Figure Legend Char"/>
    <w:basedOn w:val="DefaultParagraphFont"/>
    <w:link w:val="FigureLegend"/>
    <w:rsid w:val="0021647B"/>
    <w:rPr>
      <w:rFonts w:ascii="Times New Roman" w:eastAsiaTheme="minorEastAsia" w:hAnsi="Times New Roman"/>
      <w:color w:val="000000" w:themeColor="text1"/>
      <w:sz w:val="20"/>
      <w:szCs w:val="24"/>
      <w:lang w:val="en-US" w:eastAsia="en-AU" w:bidi="en-US"/>
    </w:rPr>
  </w:style>
  <w:style w:type="table" w:styleId="TableGrid">
    <w:name w:val="Table Grid"/>
    <w:basedOn w:val="TableNormal"/>
    <w:uiPriority w:val="59"/>
    <w:rsid w:val="0021647B"/>
    <w:pPr>
      <w:spacing w:after="200" w:line="276" w:lineRule="auto"/>
      <w:ind w:firstLine="720"/>
    </w:pPr>
    <w:rPr>
      <w:rFonts w:ascii="Times New Roman" w:eastAsia="Times New Roman" w:hAnsi="Times New Roman"/>
      <w:lang w:val="en-US" w:eastAsia="en-A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scriptBody">
    <w:name w:val="Manuscript Body"/>
    <w:basedOn w:val="Normal"/>
    <w:link w:val="ManuscriptBodyChar"/>
    <w:qFormat/>
    <w:rsid w:val="0021647B"/>
    <w:pPr>
      <w:spacing w:after="200" w:line="480" w:lineRule="auto"/>
      <w:ind w:firstLine="567"/>
      <w:contextualSpacing/>
      <w:jc w:val="both"/>
    </w:pPr>
    <w:rPr>
      <w:rFonts w:ascii="Times New Roman" w:eastAsiaTheme="minorEastAsia" w:hAnsi="Times New Roman"/>
      <w:color w:val="000000" w:themeColor="text1"/>
      <w:sz w:val="20"/>
      <w:szCs w:val="20"/>
      <w:lang w:val="en-US" w:eastAsia="en-AU" w:bidi="en-US"/>
    </w:rPr>
  </w:style>
  <w:style w:type="character" w:customStyle="1" w:styleId="ManuscriptBodyChar">
    <w:name w:val="Manuscript Body Char"/>
    <w:basedOn w:val="DefaultParagraphFont"/>
    <w:link w:val="ManuscriptBody"/>
    <w:rsid w:val="0021647B"/>
    <w:rPr>
      <w:rFonts w:ascii="Times New Roman" w:eastAsiaTheme="minorEastAsia" w:hAnsi="Times New Roman"/>
      <w:color w:val="000000" w:themeColor="text1"/>
      <w:sz w:val="20"/>
      <w:szCs w:val="20"/>
      <w:lang w:val="en-US" w:eastAsia="en-AU" w:bidi="en-US"/>
    </w:rPr>
  </w:style>
  <w:style w:type="paragraph" w:customStyle="1" w:styleId="Table">
    <w:name w:val="Table"/>
    <w:basedOn w:val="Normal"/>
    <w:link w:val="TableChar"/>
    <w:qFormat/>
    <w:rsid w:val="0021647B"/>
    <w:pPr>
      <w:keepNext/>
      <w:keepLines/>
      <w:spacing w:after="0" w:line="240" w:lineRule="auto"/>
      <w:contextualSpacing/>
    </w:pPr>
    <w:rPr>
      <w:rFonts w:ascii="Times New Roman" w:eastAsiaTheme="majorEastAsia" w:hAnsi="Times New Roman" w:cs="Times New Roman"/>
      <w:bCs/>
      <w:noProof/>
      <w:color w:val="000000" w:themeColor="text1"/>
      <w:sz w:val="20"/>
      <w:szCs w:val="20"/>
      <w:lang w:val="en-US" w:eastAsia="en-AU" w:bidi="en-US"/>
    </w:rPr>
  </w:style>
  <w:style w:type="character" w:customStyle="1" w:styleId="TableChar">
    <w:name w:val="Table Char"/>
    <w:basedOn w:val="DefaultParagraphFont"/>
    <w:link w:val="Table"/>
    <w:rsid w:val="0021647B"/>
    <w:rPr>
      <w:rFonts w:ascii="Times New Roman" w:eastAsiaTheme="majorEastAsia" w:hAnsi="Times New Roman" w:cs="Times New Roman"/>
      <w:bCs/>
      <w:noProof/>
      <w:color w:val="000000" w:themeColor="text1"/>
      <w:sz w:val="20"/>
      <w:szCs w:val="20"/>
      <w:lang w:val="en-US" w:eastAsia="en-AU" w:bidi="en-US"/>
    </w:rPr>
  </w:style>
  <w:style w:type="paragraph" w:styleId="ListParagraph">
    <w:name w:val="List Paragraph"/>
    <w:basedOn w:val="Normal"/>
    <w:uiPriority w:val="34"/>
    <w:qFormat/>
    <w:rsid w:val="002319FE"/>
    <w:pPr>
      <w:ind w:left="720"/>
      <w:contextualSpacing/>
    </w:pPr>
  </w:style>
  <w:style w:type="paragraph" w:customStyle="1" w:styleId="Figure">
    <w:name w:val="Figure"/>
    <w:basedOn w:val="Normal"/>
    <w:link w:val="FigureChar"/>
    <w:autoRedefine/>
    <w:qFormat/>
    <w:rsid w:val="00930949"/>
    <w:pPr>
      <w:spacing w:after="0" w:line="240" w:lineRule="auto"/>
      <w:contextualSpacing/>
      <w:jc w:val="center"/>
    </w:pPr>
    <w:rPr>
      <w:rFonts w:ascii="Times New Roman" w:hAnsi="Times New Roman"/>
      <w:noProof/>
      <w:color w:val="000000" w:themeColor="text1"/>
      <w:sz w:val="24"/>
      <w:lang w:eastAsia="en-AU"/>
    </w:rPr>
  </w:style>
  <w:style w:type="character" w:customStyle="1" w:styleId="FigureChar">
    <w:name w:val="Figure Char"/>
    <w:basedOn w:val="DefaultParagraphFont"/>
    <w:link w:val="Figure"/>
    <w:rsid w:val="00930949"/>
    <w:rPr>
      <w:rFonts w:ascii="Times New Roman" w:hAnsi="Times New Roman"/>
      <w:noProof/>
      <w:color w:val="000000" w:themeColor="text1"/>
      <w:sz w:val="24"/>
      <w:lang w:eastAsia="en-AU"/>
    </w:rPr>
  </w:style>
  <w:style w:type="paragraph" w:customStyle="1" w:styleId="EndNoteBibliographyTitle">
    <w:name w:val="EndNote Bibliography Title"/>
    <w:basedOn w:val="Normal"/>
    <w:link w:val="EndNoteBibliographyTitleChar"/>
    <w:rsid w:val="00570192"/>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570192"/>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570192"/>
    <w:pPr>
      <w:spacing w:line="240" w:lineRule="auto"/>
      <w:jc w:val="both"/>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570192"/>
    <w:rPr>
      <w:rFonts w:ascii="Times New Roman" w:hAnsi="Times New Roman" w:cs="Times New Roman"/>
      <w:noProof/>
      <w:sz w:val="20"/>
      <w:lang w:val="en-US"/>
    </w:rPr>
  </w:style>
  <w:style w:type="paragraph" w:styleId="NormalWeb">
    <w:name w:val="Normal (Web)"/>
    <w:basedOn w:val="Normal"/>
    <w:uiPriority w:val="99"/>
    <w:semiHidden/>
    <w:unhideWhenUsed/>
    <w:rsid w:val="00FA028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07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39"/>
  </w:style>
  <w:style w:type="paragraph" w:styleId="Footer">
    <w:name w:val="footer"/>
    <w:basedOn w:val="Normal"/>
    <w:link w:val="FooterChar"/>
    <w:uiPriority w:val="99"/>
    <w:unhideWhenUsed/>
    <w:rsid w:val="00207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39"/>
  </w:style>
  <w:style w:type="character" w:styleId="CommentReference">
    <w:name w:val="annotation reference"/>
    <w:basedOn w:val="DefaultParagraphFont"/>
    <w:uiPriority w:val="99"/>
    <w:rsid w:val="00A51B26"/>
    <w:rPr>
      <w:sz w:val="16"/>
      <w:szCs w:val="16"/>
    </w:rPr>
  </w:style>
  <w:style w:type="paragraph" w:styleId="CommentText">
    <w:name w:val="annotation text"/>
    <w:basedOn w:val="Normal"/>
    <w:link w:val="CommentTextChar"/>
    <w:uiPriority w:val="99"/>
    <w:rsid w:val="00A51B26"/>
    <w:pPr>
      <w:spacing w:after="0" w:line="240" w:lineRule="auto"/>
      <w:ind w:firstLine="720"/>
      <w:jc w:val="both"/>
    </w:pPr>
    <w:rPr>
      <w:rFonts w:ascii="Times New Roman" w:eastAsia="SimSun" w:hAnsi="Times New Roman" w:cs="Times New Roman"/>
      <w:color w:val="000000" w:themeColor="text1"/>
      <w:sz w:val="20"/>
      <w:szCs w:val="20"/>
      <w:lang w:eastAsia="zh-CN"/>
    </w:rPr>
  </w:style>
  <w:style w:type="character" w:customStyle="1" w:styleId="CommentTextChar">
    <w:name w:val="Comment Text Char"/>
    <w:basedOn w:val="DefaultParagraphFont"/>
    <w:link w:val="CommentText"/>
    <w:uiPriority w:val="99"/>
    <w:rsid w:val="00A51B26"/>
    <w:rPr>
      <w:rFonts w:ascii="Times New Roman" w:eastAsia="SimSun" w:hAnsi="Times New Roman" w:cs="Times New Roman"/>
      <w:color w:val="000000" w:themeColor="text1"/>
      <w:sz w:val="20"/>
      <w:szCs w:val="20"/>
      <w:lang w:eastAsia="zh-CN"/>
    </w:rPr>
  </w:style>
  <w:style w:type="paragraph" w:styleId="BalloonText">
    <w:name w:val="Balloon Text"/>
    <w:basedOn w:val="Normal"/>
    <w:link w:val="BalloonTextChar"/>
    <w:uiPriority w:val="99"/>
    <w:semiHidden/>
    <w:unhideWhenUsed/>
    <w:rsid w:val="00A5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B26"/>
    <w:rPr>
      <w:rFonts w:ascii="Segoe UI" w:hAnsi="Segoe UI" w:cs="Segoe UI"/>
      <w:sz w:val="18"/>
      <w:szCs w:val="18"/>
    </w:rPr>
  </w:style>
  <w:style w:type="character" w:styleId="Hyperlink">
    <w:name w:val="Hyperlink"/>
    <w:basedOn w:val="DefaultParagraphFont"/>
    <w:uiPriority w:val="99"/>
    <w:unhideWhenUsed/>
    <w:rsid w:val="00B13BB7"/>
    <w:rPr>
      <w:color w:val="0563C1" w:themeColor="hyperlink"/>
      <w:u w:val="single"/>
    </w:rPr>
  </w:style>
  <w:style w:type="paragraph" w:customStyle="1" w:styleId="FigureLegendBOLD">
    <w:name w:val="Figure Legend BOLD"/>
    <w:basedOn w:val="Normal"/>
    <w:link w:val="FigureLegendBOLDChar"/>
    <w:qFormat/>
    <w:rsid w:val="00A0341C"/>
    <w:rPr>
      <w:b/>
    </w:rPr>
  </w:style>
  <w:style w:type="character" w:customStyle="1" w:styleId="FigureLegendBOLDChar">
    <w:name w:val="Figure Legend BOLD Char"/>
    <w:basedOn w:val="FigureLegendChar"/>
    <w:link w:val="FigureLegendBOLD"/>
    <w:rsid w:val="00A0341C"/>
    <w:rPr>
      <w:rFonts w:ascii="Times New Roman" w:eastAsiaTheme="minorEastAsia" w:hAnsi="Times New Roman"/>
      <w:b/>
      <w:color w:val="000000" w:themeColor="text1"/>
      <w:sz w:val="20"/>
      <w:szCs w:val="24"/>
      <w:lang w:val="en-US" w:eastAsia="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file:///C:\Users\20242116\AppData\Local\Local%20Settings\AppData\Local\Temp\l%20%22_ENREF_7%22%20\o%20%22Kuwahara,%201994"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yperlink" Target="http://dx.doi.org/10.1016/j.artmed.2009.03.003" TargetMode="Externa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dx.doi.org/10.1016/0013-4694(85)910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Yates</dc:creator>
  <cp:keywords/>
  <dc:description/>
  <cp:lastModifiedBy>Nathanael Yates</cp:lastModifiedBy>
  <cp:revision>8</cp:revision>
  <dcterms:created xsi:type="dcterms:W3CDTF">2016-11-17T15:03:00Z</dcterms:created>
  <dcterms:modified xsi:type="dcterms:W3CDTF">2016-11-17T15:40:00Z</dcterms:modified>
</cp:coreProperties>
</file>