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1" w:type="dxa"/>
        <w:tblInd w:w="-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39"/>
        <w:gridCol w:w="1729"/>
        <w:gridCol w:w="851"/>
        <w:gridCol w:w="1134"/>
        <w:gridCol w:w="850"/>
        <w:gridCol w:w="2552"/>
        <w:gridCol w:w="992"/>
        <w:gridCol w:w="1134"/>
        <w:gridCol w:w="1612"/>
        <w:gridCol w:w="2137"/>
      </w:tblGrid>
      <w:tr w:rsidR="00A24D3A" w:rsidRPr="007B685A" w:rsidTr="00A24D3A">
        <w:trPr>
          <w:trHeight w:val="305"/>
        </w:trPr>
        <w:tc>
          <w:tcPr>
            <w:tcW w:w="1134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No. </w:t>
            </w:r>
          </w:p>
        </w:tc>
        <w:tc>
          <w:tcPr>
            <w:tcW w:w="567" w:type="dxa"/>
            <w:tcBorders>
              <w:top w:val="nil"/>
              <w:bottom w:val="single" w:sz="8" w:space="0" w:color="4F81BD"/>
            </w:tcBorders>
            <w:shd w:val="clear" w:color="auto" w:fill="4F81BD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age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single" w:sz="8" w:space="0" w:color="4F81BD"/>
            </w:tcBorders>
            <w:shd w:val="clear" w:color="auto" w:fill="4F81BD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Diagnostic</w:t>
            </w:r>
            <w:proofErr w:type="spell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 xml:space="preserve"> sample (sampling delay)</w:t>
            </w:r>
          </w:p>
        </w:tc>
        <w:tc>
          <w:tcPr>
            <w:tcW w:w="851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FAB</w:t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WHO</w:t>
            </w:r>
          </w:p>
        </w:tc>
        <w:tc>
          <w:tcPr>
            <w:tcW w:w="850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IPSS</w:t>
            </w:r>
          </w:p>
        </w:tc>
        <w:tc>
          <w:tcPr>
            <w:tcW w:w="2552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Karyotype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Blasts</w:t>
            </w:r>
            <w:proofErr w:type="spellEnd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 xml:space="preserve"> in BM</w:t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1A5D6E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A5D6E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>Hb</w:t>
            </w:r>
            <w:proofErr w:type="spellEnd"/>
            <w:r w:rsidRPr="001A5D6E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1A5D6E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>mmol</w:t>
            </w:r>
            <w:proofErr w:type="spellEnd"/>
            <w:r w:rsidRPr="001A5D6E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>/l)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>*</w:t>
            </w:r>
          </w:p>
          <w:p w:rsidR="00A24D3A" w:rsidRPr="001A5D6E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612" w:type="dxa"/>
            <w:tcBorders>
              <w:top w:val="nil"/>
              <w:bottom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Granulocytes</w:t>
            </w:r>
            <w:proofErr w:type="spellEnd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 xml:space="preserve"> (x10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^</w:t>
            </w:r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9/l)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2137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Cell</w:t>
            </w:r>
            <w:proofErr w:type="spellEnd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fractions</w:t>
            </w:r>
            <w:proofErr w:type="spellEnd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A4DB0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analyzed</w:t>
            </w:r>
            <w:proofErr w:type="spellEnd"/>
          </w:p>
        </w:tc>
      </w:tr>
      <w:tr w:rsidR="00A24D3A" w:rsidRPr="007B685A" w:rsidTr="00A24D3A">
        <w:trPr>
          <w:trHeight w:val="263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lang w:val="it-IT" w:eastAsia="it-IT"/>
              </w:rPr>
              <w:t>n/a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RCMD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75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Yes 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RCMD 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9935D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3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55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(9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RCMD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low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61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5.8</w:t>
            </w:r>
          </w:p>
        </w:tc>
        <w:tc>
          <w:tcPr>
            <w:tcW w:w="2137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CD34, CD71, CD13/33</w:t>
            </w:r>
          </w:p>
        </w:tc>
      </w:tr>
      <w:tr w:rsidR="00A24D3A" w:rsidRPr="009935D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patient 4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63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(8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RARS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RCMD-RS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low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normal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2.4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.</w:t>
            </w: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patient 5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74</w:t>
            </w:r>
          </w:p>
        </w:tc>
        <w:tc>
          <w:tcPr>
            <w:tcW w:w="1729" w:type="dxa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No (14 months)</w:t>
            </w:r>
          </w:p>
        </w:tc>
        <w:tc>
          <w:tcPr>
            <w:tcW w:w="851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</w:t>
            </w:r>
          </w:p>
        </w:tc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</w:t>
            </w:r>
          </w:p>
        </w:tc>
        <w:tc>
          <w:tcPr>
            <w:tcW w:w="850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int-1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46,XY, -20, +mar [1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0]</w:t>
            </w:r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6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52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RARS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RARS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CD34, CD71  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7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69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(3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years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RARS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RARS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47,XY,+8[4]/46,XY[6]</w:t>
            </w:r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8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52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(3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RARS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RCMD-RS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CD71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9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67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(6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years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10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59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(3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11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59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(5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47,XX,+8[7]/46,XX[3]</w:t>
            </w:r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28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12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66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(3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13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63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CD34, CD71  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14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81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15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27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RAEB-1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int-1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16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66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No (9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months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RAEB-2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int-2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17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53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RAEB-t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RAEB-2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int-2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normaal</w:t>
            </w:r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9935D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18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RAEB-t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RAEB-2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int-2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complex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12.1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CD34, CD71, CD13/33</w:t>
            </w:r>
          </w:p>
        </w:tc>
      </w:tr>
      <w:tr w:rsidR="00A24D3A" w:rsidRPr="009935D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patient 19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58</w:t>
            </w:r>
          </w:p>
        </w:tc>
        <w:tc>
          <w:tcPr>
            <w:tcW w:w="1729" w:type="dxa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RAEB-t</w:t>
            </w:r>
          </w:p>
        </w:tc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AML</w:t>
            </w:r>
          </w:p>
        </w:tc>
        <w:tc>
          <w:tcPr>
            <w:tcW w:w="850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int-2</w:t>
            </w:r>
          </w:p>
        </w:tc>
        <w:tc>
          <w:tcPr>
            <w:tcW w:w="255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normal</w:t>
            </w:r>
          </w:p>
        </w:tc>
        <w:tc>
          <w:tcPr>
            <w:tcW w:w="99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6.7</w:t>
            </w:r>
          </w:p>
        </w:tc>
        <w:tc>
          <w:tcPr>
            <w:tcW w:w="161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.</w:t>
            </w: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2137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patient 20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61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RAEB-t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RAEB-2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high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complex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CD34, CD71 </w:t>
            </w:r>
          </w:p>
        </w:tc>
      </w:tr>
      <w:tr w:rsidR="00A24D3A" w:rsidRPr="009935D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patient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21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64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RAEB-2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high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47,XY, +11 [5] / 46,XY [15]</w:t>
            </w:r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1.0</w:t>
            </w:r>
          </w:p>
        </w:tc>
        <w:tc>
          <w:tcPr>
            <w:tcW w:w="2137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CD34, CD13/33</w:t>
            </w:r>
          </w:p>
        </w:tc>
      </w:tr>
      <w:tr w:rsidR="00A24D3A" w:rsidRPr="009935D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patient 22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70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RAEB-t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AML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high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normal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22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4.8</w:t>
            </w: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.</w:t>
            </w: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patient 23</w:t>
            </w:r>
          </w:p>
        </w:tc>
        <w:tc>
          <w:tcPr>
            <w:tcW w:w="1106" w:type="dxa"/>
            <w:gridSpan w:val="2"/>
            <w:vAlign w:val="center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CF41FD">
              <w:rPr>
                <w:rFonts w:eastAsia="Times New Roman"/>
                <w:color w:val="000000"/>
                <w:sz w:val="20"/>
                <w:szCs w:val="20"/>
                <w:lang w:val="it-IT" w:eastAsia="it-IT"/>
              </w:rPr>
              <w:t>64</w:t>
            </w:r>
          </w:p>
        </w:tc>
        <w:tc>
          <w:tcPr>
            <w:tcW w:w="1729" w:type="dxa"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yes</w:t>
            </w:r>
          </w:p>
        </w:tc>
        <w:tc>
          <w:tcPr>
            <w:tcW w:w="851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RAEB-t</w:t>
            </w:r>
          </w:p>
        </w:tc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AML</w:t>
            </w:r>
          </w:p>
        </w:tc>
        <w:tc>
          <w:tcPr>
            <w:tcW w:w="850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high</w:t>
            </w:r>
          </w:p>
        </w:tc>
        <w:tc>
          <w:tcPr>
            <w:tcW w:w="255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complex</w:t>
            </w:r>
          </w:p>
        </w:tc>
        <w:tc>
          <w:tcPr>
            <w:tcW w:w="99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6.3</w:t>
            </w:r>
          </w:p>
        </w:tc>
        <w:tc>
          <w:tcPr>
            <w:tcW w:w="1612" w:type="dxa"/>
            <w:noWrap/>
            <w:hideMark/>
          </w:tcPr>
          <w:p w:rsidR="00A24D3A" w:rsidRPr="009935DA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.</w:t>
            </w:r>
            <w:r w:rsidRPr="009935DA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controls</w:t>
            </w:r>
            <w:proofErr w:type="spellEnd"/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1-9</w:t>
            </w:r>
          </w:p>
        </w:tc>
        <w:tc>
          <w:tcPr>
            <w:tcW w:w="110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1729" w:type="dxa"/>
            <w:tcBorders>
              <w:top w:val="single" w:sz="8" w:space="0" w:color="4F81BD"/>
              <w:bottom w:val="single" w:sz="8" w:space="0" w:color="4F81BD"/>
            </w:tcBorders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12" w:type="dxa"/>
            <w:tcBorders>
              <w:top w:val="single" w:sz="8" w:space="0" w:color="4F81BD"/>
              <w:bottom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CD71, CD13/33</w:t>
            </w:r>
          </w:p>
        </w:tc>
      </w:tr>
      <w:tr w:rsidR="00A24D3A" w:rsidRPr="007B685A" w:rsidTr="00A24D3A">
        <w:trPr>
          <w:trHeight w:val="291"/>
        </w:trPr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l-NL"/>
              </w:rPr>
              <w:t>control 10</w:t>
            </w:r>
          </w:p>
        </w:tc>
        <w:tc>
          <w:tcPr>
            <w:tcW w:w="1106" w:type="dxa"/>
            <w:gridSpan w:val="2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1729" w:type="dxa"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37" w:type="dxa"/>
            <w:noWrap/>
            <w:hideMark/>
          </w:tcPr>
          <w:p w:rsidR="00A24D3A" w:rsidRPr="00EA4DB0" w:rsidRDefault="00A24D3A" w:rsidP="000312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EA4DB0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CD34, CD13/33</w:t>
            </w:r>
          </w:p>
        </w:tc>
      </w:tr>
    </w:tbl>
    <w:p w:rsidR="00A24D3A" w:rsidRDefault="00A24D3A" w:rsidP="00A24D3A">
      <w:bookmarkStart w:id="0" w:name="_GoBack"/>
      <w:bookmarkEnd w:id="0"/>
    </w:p>
    <w:sectPr w:rsidR="00A24D3A" w:rsidSect="008E39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60484"/>
    <w:multiLevelType w:val="hybridMultilevel"/>
    <w:tmpl w:val="6CE40266"/>
    <w:lvl w:ilvl="0" w:tplc="3B0C95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3A"/>
    <w:rsid w:val="003D3D3C"/>
    <w:rsid w:val="008E39AA"/>
    <w:rsid w:val="00A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2058-4E23-41C4-B0D7-AEECCAB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3A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24D3A"/>
    <w:rPr>
      <w:color w:val="3D168B"/>
      <w:u w:val="single"/>
    </w:rPr>
  </w:style>
  <w:style w:type="paragraph" w:styleId="Header">
    <w:name w:val="header"/>
    <w:basedOn w:val="Normal"/>
    <w:link w:val="HeaderChar"/>
    <w:semiHidden/>
    <w:unhideWhenUsed/>
    <w:rsid w:val="00A24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semiHidden/>
    <w:rsid w:val="00A24D3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A24D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3A"/>
    <w:rPr>
      <w:rFonts w:ascii="Calibri" w:eastAsia="Calibri" w:hAnsi="Calibri" w:cs="Times New Roman"/>
      <w:lang w:val="nl-NL"/>
    </w:rPr>
  </w:style>
  <w:style w:type="character" w:styleId="Emphasis">
    <w:name w:val="Emphasis"/>
    <w:basedOn w:val="DefaultParagraphFont"/>
    <w:uiPriority w:val="20"/>
    <w:qFormat/>
    <w:rsid w:val="00A24D3A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3A"/>
    <w:rPr>
      <w:rFonts w:ascii="Tahoma" w:eastAsia="Calibri" w:hAnsi="Tahoma" w:cs="Tahoma"/>
      <w:sz w:val="16"/>
      <w:szCs w:val="16"/>
      <w:lang w:val="nl-NL"/>
    </w:rPr>
  </w:style>
  <w:style w:type="character" w:customStyle="1" w:styleId="apple-style-span">
    <w:name w:val="apple-style-span"/>
    <w:basedOn w:val="DefaultParagraphFont"/>
    <w:rsid w:val="00A24D3A"/>
  </w:style>
  <w:style w:type="character" w:styleId="CommentReference">
    <w:name w:val="annotation reference"/>
    <w:basedOn w:val="DefaultParagraphFont"/>
    <w:uiPriority w:val="99"/>
    <w:semiHidden/>
    <w:unhideWhenUsed/>
    <w:rsid w:val="00A24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D3A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3A"/>
    <w:rPr>
      <w:rFonts w:ascii="Calibri" w:eastAsia="Calibri" w:hAnsi="Calibri" w:cs="Times New Roman"/>
      <w:b/>
      <w:bCs/>
      <w:sz w:val="20"/>
      <w:szCs w:val="2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4D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D3A"/>
    <w:rPr>
      <w:rFonts w:ascii="Tahoma" w:eastAsia="Calibri" w:hAnsi="Tahoma" w:cs="Tahoma"/>
      <w:sz w:val="16"/>
      <w:szCs w:val="16"/>
      <w:lang w:val="nl-NL"/>
    </w:rPr>
  </w:style>
  <w:style w:type="table" w:customStyle="1" w:styleId="Lichtelijst-accent11">
    <w:name w:val="Lichte lijst - accent 11"/>
    <w:basedOn w:val="TableNormal"/>
    <w:uiPriority w:val="61"/>
    <w:rsid w:val="00A24D3A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24D3A"/>
    <w:pPr>
      <w:ind w:left="720"/>
      <w:contextualSpacing/>
    </w:pPr>
  </w:style>
  <w:style w:type="character" w:customStyle="1" w:styleId="maintitle">
    <w:name w:val="maintitle"/>
    <w:basedOn w:val="DefaultParagraphFont"/>
    <w:rsid w:val="00A24D3A"/>
  </w:style>
  <w:style w:type="character" w:styleId="HTMLCite">
    <w:name w:val="HTML Cite"/>
    <w:basedOn w:val="DefaultParagraphFont"/>
    <w:uiPriority w:val="99"/>
    <w:semiHidden/>
    <w:unhideWhenUsed/>
    <w:rsid w:val="00A24D3A"/>
    <w:rPr>
      <w:i/>
      <w:iCs/>
    </w:rPr>
  </w:style>
  <w:style w:type="character" w:customStyle="1" w:styleId="author">
    <w:name w:val="author"/>
    <w:basedOn w:val="DefaultParagraphFont"/>
    <w:rsid w:val="00A24D3A"/>
  </w:style>
  <w:style w:type="character" w:customStyle="1" w:styleId="pubyear">
    <w:name w:val="pubyear"/>
    <w:basedOn w:val="DefaultParagraphFont"/>
    <w:rsid w:val="00A24D3A"/>
  </w:style>
  <w:style w:type="character" w:customStyle="1" w:styleId="articletitle">
    <w:name w:val="articletitle"/>
    <w:basedOn w:val="DefaultParagraphFont"/>
    <w:rsid w:val="00A24D3A"/>
  </w:style>
  <w:style w:type="character" w:customStyle="1" w:styleId="journaltitle">
    <w:name w:val="journaltitle"/>
    <w:basedOn w:val="DefaultParagraphFont"/>
    <w:rsid w:val="00A24D3A"/>
  </w:style>
  <w:style w:type="character" w:customStyle="1" w:styleId="vol">
    <w:name w:val="vol"/>
    <w:basedOn w:val="DefaultParagraphFont"/>
    <w:rsid w:val="00A24D3A"/>
  </w:style>
  <w:style w:type="character" w:customStyle="1" w:styleId="pagefirst">
    <w:name w:val="pagefirst"/>
    <w:basedOn w:val="DefaultParagraphFont"/>
    <w:rsid w:val="00A24D3A"/>
  </w:style>
  <w:style w:type="character" w:customStyle="1" w:styleId="pagelast">
    <w:name w:val="pagelast"/>
    <w:basedOn w:val="DefaultParagraphFont"/>
    <w:rsid w:val="00A24D3A"/>
  </w:style>
  <w:style w:type="paragraph" w:styleId="NoSpacing">
    <w:name w:val="No Spacing"/>
    <w:link w:val="NoSpacingChar"/>
    <w:uiPriority w:val="1"/>
    <w:qFormat/>
    <w:rsid w:val="00A24D3A"/>
    <w:pPr>
      <w:spacing w:after="0" w:line="240" w:lineRule="auto"/>
    </w:pPr>
    <w:rPr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A24D3A"/>
    <w:rPr>
      <w:lang w:val="nl-NL"/>
    </w:rPr>
  </w:style>
  <w:style w:type="paragraph" w:customStyle="1" w:styleId="EndNoteBibliographyTitle">
    <w:name w:val="EndNote Bibliography Title"/>
    <w:basedOn w:val="Normal"/>
    <w:link w:val="EndNoteBibliographyTitleChar"/>
    <w:rsid w:val="00A24D3A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A24D3A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4D3A"/>
    <w:pPr>
      <w:spacing w:line="36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A24D3A"/>
    <w:rPr>
      <w:rFonts w:ascii="Calibri" w:eastAsia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A24D3A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PlainText">
    <w:name w:val="Plain Text"/>
    <w:basedOn w:val="Normal"/>
    <w:link w:val="PlainTextChar"/>
    <w:uiPriority w:val="99"/>
    <w:unhideWhenUsed/>
    <w:rsid w:val="00A24D3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4D3A"/>
    <w:rPr>
      <w:rFonts w:ascii="Consolas" w:hAnsi="Consolas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 Mariani</dc:creator>
  <cp:keywords/>
  <dc:description/>
  <cp:lastModifiedBy>NiQ Mariani</cp:lastModifiedBy>
  <cp:revision>2</cp:revision>
  <dcterms:created xsi:type="dcterms:W3CDTF">2016-11-13T17:18:00Z</dcterms:created>
  <dcterms:modified xsi:type="dcterms:W3CDTF">2016-11-13T17:18:00Z</dcterms:modified>
</cp:coreProperties>
</file>