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8E" w:rsidRPr="00C05B56" w:rsidRDefault="0064068E" w:rsidP="0064068E">
      <w:pPr>
        <w:tabs>
          <w:tab w:val="left" w:pos="360"/>
        </w:tabs>
        <w:spacing w:after="0" w:line="48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Information</w:t>
      </w:r>
    </w:p>
    <w:p w:rsidR="0064068E" w:rsidRDefault="0064068E" w:rsidP="0064068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S4</w:t>
      </w:r>
      <w:r w:rsidRPr="00207ACD">
        <w:rPr>
          <w:rFonts w:ascii="Times New Roman" w:hAnsi="Times New Roman" w:cs="Times New Roman"/>
          <w:b/>
          <w:sz w:val="24"/>
        </w:rPr>
        <w:t xml:space="preserve"> Table. </w:t>
      </w:r>
      <w:r>
        <w:rPr>
          <w:rFonts w:ascii="Times New Roman" w:hAnsi="Times New Roman" w:cs="Times New Roman"/>
          <w:b/>
          <w:sz w:val="24"/>
          <w:szCs w:val="24"/>
        </w:rPr>
        <w:t>Application of the R</w:t>
      </w:r>
      <w:r w:rsidRPr="00FE1340">
        <w:rPr>
          <w:rFonts w:ascii="Times New Roman" w:hAnsi="Times New Roman" w:cs="Times New Roman"/>
          <w:b/>
          <w:sz w:val="24"/>
          <w:szCs w:val="24"/>
        </w:rPr>
        <w:t>ecali</w:t>
      </w:r>
      <w:r>
        <w:rPr>
          <w:rFonts w:ascii="Times New Roman" w:hAnsi="Times New Roman" w:cs="Times New Roman"/>
          <w:b/>
          <w:sz w:val="24"/>
          <w:szCs w:val="24"/>
        </w:rPr>
        <w:t xml:space="preserve">brated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Siriraj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Stroke Score at Different T</w:t>
      </w:r>
      <w:r w:rsidRPr="00FE1340">
        <w:rPr>
          <w:rFonts w:ascii="Times New Roman" w:hAnsi="Times New Roman" w:cs="Times New Roman"/>
          <w:b/>
          <w:sz w:val="24"/>
          <w:szCs w:val="24"/>
        </w:rPr>
        <w:t>hresholds</w:t>
      </w:r>
      <w:r>
        <w:rPr>
          <w:rFonts w:ascii="Times New Roman" w:hAnsi="Times New Roman" w:cs="Times New Roman"/>
          <w:b/>
          <w:sz w:val="24"/>
          <w:szCs w:val="24"/>
        </w:rPr>
        <w:t xml:space="preserve"> (expanded time window of 6 hours)</w:t>
      </w:r>
    </w:p>
    <w:tbl>
      <w:tblPr>
        <w:tblW w:w="14490" w:type="dxa"/>
        <w:tblInd w:w="-720" w:type="dxa"/>
        <w:tblLook w:val="04A0" w:firstRow="1" w:lastRow="0" w:firstColumn="1" w:lastColumn="0" w:noHBand="0" w:noVBand="1"/>
      </w:tblPr>
      <w:tblGrid>
        <w:gridCol w:w="1620"/>
        <w:gridCol w:w="1800"/>
        <w:gridCol w:w="1800"/>
        <w:gridCol w:w="1530"/>
        <w:gridCol w:w="1620"/>
        <w:gridCol w:w="2250"/>
        <w:gridCol w:w="2070"/>
        <w:gridCol w:w="1800"/>
      </w:tblGrid>
      <w:tr w:rsidR="0064068E" w:rsidRPr="0064068E" w:rsidTr="0064068E">
        <w:trPr>
          <w:trHeight w:val="60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DE01E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Cut-off values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68E" w:rsidRPr="0064068E" w:rsidRDefault="0064068E" w:rsidP="00DE01E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Sensitivity with 95% CI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68E" w:rsidRPr="0064068E" w:rsidRDefault="0064068E" w:rsidP="00DE01E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Specificity with 95%CI (%)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DE01E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PPV</w:t>
            </w: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95% CI (%)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DE01E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NPV</w:t>
            </w: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95% CI (%)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68E" w:rsidRPr="0064068E" w:rsidRDefault="0064068E" w:rsidP="00DE01E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missed isch</w:t>
            </w: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emic cases (%)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68E" w:rsidRPr="0064068E" w:rsidRDefault="0064068E" w:rsidP="00DE01E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overdiagnosed</w:t>
            </w:r>
            <w:proofErr w:type="spellEnd"/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cases, n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68E" w:rsidRPr="0064068E" w:rsidRDefault="0064068E" w:rsidP="00DE01E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urgent CT imaging (%)</w:t>
            </w:r>
          </w:p>
        </w:tc>
      </w:tr>
      <w:tr w:rsidR="0064068E" w:rsidRPr="0064068E" w:rsidTr="0064068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&gt;=-1.5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(82-87)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(61-66)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(43-48)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(91-93)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(37)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(8)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 (51)</w:t>
            </w:r>
          </w:p>
        </w:tc>
      </w:tr>
      <w:tr w:rsidR="0064068E" w:rsidRPr="0064068E" w:rsidTr="0064068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&gt;=-1.0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(71-78)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(78-82)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(54-61)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(88-91)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(20)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(10)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1746 (66)</w:t>
            </w:r>
          </w:p>
        </w:tc>
      </w:tr>
      <w:tr w:rsidR="0064068E" w:rsidRPr="0064068E" w:rsidTr="0064068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&gt;=-0.5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(59-66)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(88-91)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(65-72)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(85-88)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(10)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(13)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(76)</w:t>
            </w:r>
          </w:p>
        </w:tc>
      </w:tr>
      <w:tr w:rsidR="0064068E" w:rsidRPr="0064068E" w:rsidTr="0064068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(44-52)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(94-96)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(73-81)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(82-85)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(16)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 (84)</w:t>
            </w:r>
          </w:p>
        </w:tc>
      </w:tr>
      <w:tr w:rsidR="0064068E" w:rsidRPr="0064068E" w:rsidTr="0064068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(31-38)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(97-98)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(79-88)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(79-82)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(19)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2372 (89)</w:t>
            </w:r>
          </w:p>
        </w:tc>
      </w:tr>
      <w:tr w:rsidR="0064068E" w:rsidRPr="0064068E" w:rsidTr="0064068E">
        <w:trPr>
          <w:trHeight w:val="30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&gt;=1.0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(17-23)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(99-100)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(84-94)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(76-79)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(1)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(22)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 (94)</w:t>
            </w:r>
          </w:p>
        </w:tc>
      </w:tr>
      <w:tr w:rsidR="0064068E" w:rsidRPr="0064068E" w:rsidTr="0064068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(7-12)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(99-100)</w:t>
            </w: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(85-98)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(74-77)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(0.3)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 (24)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68E" w:rsidRPr="0064068E" w:rsidRDefault="0064068E" w:rsidP="0064068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2585 (97)</w:t>
            </w:r>
          </w:p>
        </w:tc>
      </w:tr>
    </w:tbl>
    <w:p w:rsidR="0064068E" w:rsidRPr="0064068E" w:rsidRDefault="0064068E" w:rsidP="0064068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4068E">
        <w:rPr>
          <w:rFonts w:ascii="Times New Roman" w:hAnsi="Times New Roman" w:cs="Times New Roman"/>
          <w:sz w:val="24"/>
          <w:szCs w:val="24"/>
        </w:rPr>
        <w:t xml:space="preserve">*cut-off value used in this study, </w:t>
      </w:r>
      <w:r w:rsidRPr="0064068E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64068E">
        <w:rPr>
          <w:rFonts w:ascii="Times New Roman" w:hAnsi="Times New Roman" w:cs="Times New Roman"/>
          <w:sz w:val="24"/>
          <w:szCs w:val="24"/>
        </w:rPr>
        <w:t>PPV: positive predictive value,</w:t>
      </w:r>
      <w:r w:rsidRPr="0064068E">
        <w:rPr>
          <w:rFonts w:ascii="Times New Roman" w:hAnsi="Times New Roman" w:cs="Times New Roman"/>
          <w:sz w:val="24"/>
          <w:szCs w:val="24"/>
          <w:vertAlign w:val="superscript"/>
        </w:rPr>
        <w:t xml:space="preserve"> ‡</w:t>
      </w:r>
      <w:r w:rsidRPr="0064068E">
        <w:rPr>
          <w:rFonts w:ascii="Times New Roman" w:hAnsi="Times New Roman" w:cs="Times New Roman"/>
          <w:sz w:val="24"/>
          <w:szCs w:val="24"/>
        </w:rPr>
        <w:t>NPV: negative predictive value</w:t>
      </w:r>
      <w:r w:rsidR="00DE01E4">
        <w:rPr>
          <w:rFonts w:ascii="Times New Roman" w:hAnsi="Times New Roman" w:cs="Times New Roman"/>
          <w:sz w:val="24"/>
          <w:szCs w:val="24"/>
        </w:rPr>
        <w:t>, n=2658</w:t>
      </w:r>
    </w:p>
    <w:p w:rsidR="00A414E4" w:rsidRDefault="00A414E4">
      <w:bookmarkStart w:id="0" w:name="_GoBack"/>
      <w:bookmarkEnd w:id="0"/>
    </w:p>
    <w:sectPr w:rsidR="00A414E4" w:rsidSect="00640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8E"/>
    <w:rsid w:val="0064068E"/>
    <w:rsid w:val="00A414E4"/>
    <w:rsid w:val="00D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B0AD0-CDB1-4177-96F1-65BE5678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Hwong</dc:creator>
  <cp:keywords/>
  <dc:description/>
  <cp:lastModifiedBy>Amy Hwong</cp:lastModifiedBy>
  <cp:revision>2</cp:revision>
  <dcterms:created xsi:type="dcterms:W3CDTF">2016-08-09T05:36:00Z</dcterms:created>
  <dcterms:modified xsi:type="dcterms:W3CDTF">2016-08-15T01:13:00Z</dcterms:modified>
</cp:coreProperties>
</file>