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00" w:rsidRPr="00B972F9" w:rsidRDefault="00665E40" w:rsidP="0015740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S1</w:t>
      </w:r>
      <w:r w:rsidR="0015740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157400" w:rsidRPr="00B972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Univariate </w:t>
      </w:r>
      <w:r w:rsidR="00157400">
        <w:rPr>
          <w:rFonts w:ascii="Times New Roman" w:hAnsi="Times New Roman" w:cs="Times New Roman"/>
          <w:b/>
          <w:sz w:val="24"/>
          <w:szCs w:val="24"/>
        </w:rPr>
        <w:t xml:space="preserve">age-adjusted </w:t>
      </w:r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linear mixed </w:t>
      </w:r>
      <w:r w:rsidR="00157400" w:rsidRPr="00B972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regression models</w:t>
      </w:r>
      <w:r w:rsidR="00157400" w:rsidRPr="00B972F9" w:rsidDel="0070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of function </w:t>
      </w:r>
      <w:r w:rsidR="00157400">
        <w:rPr>
          <w:rFonts w:ascii="Times New Roman" w:hAnsi="Times New Roman" w:cs="Times New Roman"/>
          <w:b/>
          <w:sz w:val="24"/>
          <w:szCs w:val="24"/>
        </w:rPr>
        <w:t>and</w:t>
      </w:r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 pain stratified by </w:t>
      </w:r>
      <w:r w:rsidR="00157400">
        <w:rPr>
          <w:rFonts w:ascii="Times New Roman" w:hAnsi="Times New Roman" w:cs="Times New Roman"/>
          <w:b/>
          <w:sz w:val="24"/>
          <w:szCs w:val="24"/>
        </w:rPr>
        <w:t>revision/primary</w:t>
      </w:r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00">
        <w:rPr>
          <w:rFonts w:ascii="Times New Roman" w:hAnsi="Times New Roman" w:cs="Times New Roman"/>
          <w:b/>
          <w:sz w:val="24"/>
          <w:szCs w:val="24"/>
        </w:rPr>
        <w:t>profiles</w:t>
      </w:r>
      <w:r w:rsidR="00157400" w:rsidRPr="00B972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57400" w:rsidRPr="00B97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400" w:rsidRDefault="00157400" w:rsidP="00157400">
      <w:bookmarkStart w:id="0" w:name="_GoBack"/>
      <w:bookmarkEnd w:id="0"/>
    </w:p>
    <w:tbl>
      <w:tblPr>
        <w:tblW w:w="142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92"/>
        <w:gridCol w:w="1164"/>
        <w:gridCol w:w="1082"/>
        <w:gridCol w:w="1082"/>
        <w:gridCol w:w="866"/>
        <w:gridCol w:w="1131"/>
        <w:gridCol w:w="1052"/>
        <w:gridCol w:w="950"/>
        <w:gridCol w:w="1192"/>
        <w:gridCol w:w="946"/>
        <w:gridCol w:w="1115"/>
        <w:gridCol w:w="879"/>
      </w:tblGrid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20" w:type="dxa"/>
            <w:gridSpan w:val="4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 surgery</w:t>
            </w:r>
          </w:p>
        </w:tc>
        <w:tc>
          <w:tcPr>
            <w:tcW w:w="3999" w:type="dxa"/>
            <w:gridSpan w:val="4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Primary surgery</w:t>
            </w:r>
          </w:p>
        </w:tc>
        <w:tc>
          <w:tcPr>
            <w:tcW w:w="4132" w:type="dxa"/>
            <w:gridSpan w:val="4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Revision 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Primary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Coef</w:t>
            </w:r>
            <w:proofErr w:type="spellEnd"/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[95% Conf. Interval]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Coef</w:t>
            </w:r>
            <w:proofErr w:type="spellEnd"/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[95% Conf. Interval]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2061" w:type="dxa"/>
            <w:gridSpan w:val="2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[95% Conf. Interval]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WOMAC-pain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Pre-o</w:t>
            </w:r>
            <w:r w:rsidRPr="00C7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0.490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(0.201,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0.341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Short-term </w:t>
            </w:r>
            <w:proofErr w:type="spellStart"/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0.228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(0.155, 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0.301)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0.458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400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-0.230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(-0.324, 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-0.13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Long-term </w:t>
            </w:r>
            <w:proofErr w:type="spellStart"/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(-0.011,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0.037) 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(-0.030, 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0.002) 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0.090</w:t>
            </w:r>
          </w:p>
        </w:tc>
        <w:tc>
          <w:tcPr>
            <w:tcW w:w="1192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(-0.002, 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0.056) 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WOMAC-function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7E268B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Pre-o</w:t>
            </w:r>
            <w:r w:rsidRPr="00C7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671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(-0.051,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0.345)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(-0.109,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0.586) 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C72177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Short-term </w:t>
            </w:r>
            <w:proofErr w:type="spellStart"/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(0.133, 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0.389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(0.328, 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0.451)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-0.188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(-0.280,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-0.096)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C72177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Long-term </w:t>
            </w:r>
            <w:proofErr w:type="spellStart"/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(-0.008,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0.037)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(-0.009,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0.019)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(-0.017,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0.036) 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0.495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Walking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2F7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7E268B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Pre-o</w:t>
            </w:r>
            <w:r w:rsidRPr="00C7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496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C72177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Short-term </w:t>
            </w:r>
            <w:proofErr w:type="spellStart"/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099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364</w:t>
            </w:r>
          </w:p>
        </w:tc>
      </w:tr>
      <w:tr w:rsidR="00157400" w:rsidRPr="00202F7C" w:rsidTr="005E3626">
        <w:trPr>
          <w:trHeight w:val="300"/>
        </w:trPr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157400" w:rsidRPr="00C72177" w:rsidRDefault="00157400" w:rsidP="005E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Long-term </w:t>
            </w:r>
            <w:proofErr w:type="spellStart"/>
            <w:r w:rsidRPr="00B97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change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(0.007, 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(-0.07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57400" w:rsidRPr="00202F7C" w:rsidRDefault="00157400" w:rsidP="005E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0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</w:tbl>
    <w:p w:rsidR="00157400" w:rsidRDefault="00157400" w:rsidP="00157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2F9">
        <w:rPr>
          <w:rFonts w:ascii="Times New Roman" w:hAnsi="Times New Roman" w:cs="Times New Roman"/>
          <w:sz w:val="16"/>
          <w:szCs w:val="16"/>
        </w:rPr>
        <w:t>Coefficient with p-value&lt;0.05 are highlighted in bold.</w:t>
      </w:r>
    </w:p>
    <w:p w:rsidR="00157400" w:rsidRDefault="00157400" w:rsidP="00157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2F9">
        <w:rPr>
          <w:rFonts w:ascii="Times New Roman" w:hAnsi="Times New Roman" w:cs="Times New Roman"/>
          <w:sz w:val="16"/>
          <w:szCs w:val="16"/>
        </w:rPr>
        <w:t>WOMAC-</w:t>
      </w:r>
      <w:r>
        <w:rPr>
          <w:rFonts w:ascii="Times New Roman" w:hAnsi="Times New Roman" w:cs="Times New Roman"/>
          <w:sz w:val="16"/>
          <w:szCs w:val="16"/>
        </w:rPr>
        <w:t xml:space="preserve">pain, </w:t>
      </w:r>
      <w:r w:rsidRPr="00B972F9">
        <w:rPr>
          <w:rFonts w:ascii="Times New Roman" w:hAnsi="Times New Roman" w:cs="Times New Roman"/>
          <w:sz w:val="16"/>
          <w:szCs w:val="16"/>
        </w:rPr>
        <w:t>function</w:t>
      </w:r>
      <w:r>
        <w:rPr>
          <w:rFonts w:ascii="Times New Roman" w:hAnsi="Times New Roman" w:cs="Times New Roman"/>
          <w:sz w:val="16"/>
          <w:szCs w:val="16"/>
        </w:rPr>
        <w:t xml:space="preserve"> and walking speed</w:t>
      </w:r>
      <w:r w:rsidRPr="00B972F9">
        <w:rPr>
          <w:rFonts w:ascii="Times New Roman" w:hAnsi="Times New Roman" w:cs="Times New Roman"/>
          <w:sz w:val="16"/>
          <w:szCs w:val="16"/>
        </w:rPr>
        <w:t xml:space="preserve"> are modelled as standardised outcomes.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2177">
        <w:rPr>
          <w:rFonts w:ascii="Times New Roman" w:hAnsi="Times New Roman" w:cs="Times New Roman"/>
          <w:sz w:val="16"/>
          <w:szCs w:val="16"/>
        </w:rPr>
        <w:t>The regression coefficients are derived from random intercept and slope models adjusted for time of assessment parameterised as two linear splines (short-term changes and long-term changes)</w:t>
      </w:r>
      <w:r>
        <w:rPr>
          <w:rFonts w:ascii="Times New Roman" w:hAnsi="Times New Roman" w:cs="Times New Roman"/>
          <w:sz w:val="16"/>
          <w:szCs w:val="16"/>
        </w:rPr>
        <w:t xml:space="preserve"> and age(centred on mean age: respectively  65y and 66y for primary and revision arthroplasties)</w:t>
      </w:r>
      <w:r w:rsidRPr="00C72177">
        <w:rPr>
          <w:rFonts w:ascii="Times New Roman" w:hAnsi="Times New Roman" w:cs="Times New Roman"/>
          <w:sz w:val="16"/>
          <w:szCs w:val="16"/>
        </w:rPr>
        <w:t xml:space="preserve">. The variances of random effects and correlation coefficients are not presented but are available on request. </w:t>
      </w:r>
    </w:p>
    <w:p w:rsidR="00157400" w:rsidRDefault="00157400" w:rsidP="00157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B972F9">
        <w:rPr>
          <w:rFonts w:ascii="Times New Roman" w:hAnsi="Times New Roman" w:cs="Times New Roman"/>
          <w:sz w:val="16"/>
          <w:szCs w:val="16"/>
        </w:rPr>
        <w:t>. Intercept: Estimated mean function or pain standardised score on the day of surgery.</w:t>
      </w:r>
      <w:r w:rsidRPr="00B972F9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b</w:t>
      </w:r>
      <w:r w:rsidRPr="00B972F9">
        <w:rPr>
          <w:rFonts w:ascii="Times New Roman" w:hAnsi="Times New Roman" w:cs="Times New Roman"/>
          <w:sz w:val="16"/>
          <w:szCs w:val="16"/>
        </w:rPr>
        <w:t xml:space="preserve">. Short-term changes: Estimated monthly mean change in </w:t>
      </w:r>
      <w:r>
        <w:rPr>
          <w:rFonts w:ascii="Times New Roman" w:hAnsi="Times New Roman" w:cs="Times New Roman"/>
          <w:sz w:val="16"/>
          <w:szCs w:val="16"/>
        </w:rPr>
        <w:t xml:space="preserve">pain or </w:t>
      </w:r>
      <w:r w:rsidRPr="00B972F9">
        <w:rPr>
          <w:rFonts w:ascii="Times New Roman" w:hAnsi="Times New Roman" w:cs="Times New Roman"/>
          <w:sz w:val="16"/>
          <w:szCs w:val="16"/>
        </w:rPr>
        <w:t>function standardised scores between the pre-operative and first post-operative assessments (~</w:t>
      </w:r>
      <w:r>
        <w:rPr>
          <w:rFonts w:ascii="Times New Roman" w:hAnsi="Times New Roman" w:cs="Times New Roman"/>
          <w:sz w:val="16"/>
          <w:szCs w:val="16"/>
        </w:rPr>
        <w:t>3-months</w:t>
      </w:r>
      <w:r w:rsidRPr="00B972F9">
        <w:rPr>
          <w:rFonts w:ascii="Times New Roman" w:hAnsi="Times New Roman" w:cs="Times New Roman"/>
          <w:sz w:val="16"/>
          <w:szCs w:val="16"/>
        </w:rPr>
        <w:t>).</w:t>
      </w:r>
    </w:p>
    <w:p w:rsidR="00157400" w:rsidRDefault="00157400" w:rsidP="00157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c. L</w:t>
      </w:r>
      <w:r w:rsidRPr="00B972F9">
        <w:rPr>
          <w:rFonts w:ascii="Times New Roman" w:hAnsi="Times New Roman" w:cs="Times New Roman"/>
          <w:sz w:val="16"/>
          <w:szCs w:val="16"/>
        </w:rPr>
        <w:t>ong-term changes: Estimated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72F9">
        <w:rPr>
          <w:rFonts w:ascii="Times New Roman" w:hAnsi="Times New Roman" w:cs="Times New Roman"/>
          <w:sz w:val="16"/>
          <w:szCs w:val="16"/>
        </w:rPr>
        <w:t xml:space="preserve">monthly mean change in </w:t>
      </w:r>
      <w:r>
        <w:rPr>
          <w:rFonts w:ascii="Times New Roman" w:hAnsi="Times New Roman" w:cs="Times New Roman"/>
          <w:sz w:val="16"/>
          <w:szCs w:val="16"/>
        </w:rPr>
        <w:t xml:space="preserve">pain or </w:t>
      </w:r>
      <w:r w:rsidRPr="00B972F9">
        <w:rPr>
          <w:rFonts w:ascii="Times New Roman" w:hAnsi="Times New Roman" w:cs="Times New Roman"/>
          <w:sz w:val="16"/>
          <w:szCs w:val="16"/>
        </w:rPr>
        <w:t xml:space="preserve">function standardised scores between the first and second post-operative </w:t>
      </w:r>
      <w:r>
        <w:rPr>
          <w:rFonts w:ascii="Times New Roman" w:hAnsi="Times New Roman" w:cs="Times New Roman"/>
          <w:sz w:val="16"/>
          <w:szCs w:val="16"/>
        </w:rPr>
        <w:t>assessments (~3 and ~12-months)</w:t>
      </w:r>
      <w:r w:rsidRPr="00B972F9">
        <w:rPr>
          <w:rFonts w:ascii="Times New Roman" w:hAnsi="Times New Roman" w:cs="Times New Roman"/>
          <w:sz w:val="16"/>
          <w:szCs w:val="16"/>
        </w:rPr>
        <w:t>.</w:t>
      </w:r>
    </w:p>
    <w:p w:rsidR="00157400" w:rsidRDefault="00157400" w:rsidP="0015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d. </w:t>
      </w:r>
      <w:r w:rsidRPr="00B972F9">
        <w:rPr>
          <w:rFonts w:ascii="Times New Roman" w:hAnsi="Times New Roman" w:cs="Times New Roman"/>
          <w:sz w:val="16"/>
          <w:szCs w:val="16"/>
        </w:rPr>
        <w:t xml:space="preserve">Difference between the </w:t>
      </w:r>
      <w:r>
        <w:rPr>
          <w:rFonts w:ascii="Times New Roman" w:hAnsi="Times New Roman" w:cs="Times New Roman"/>
          <w:sz w:val="16"/>
          <w:szCs w:val="16"/>
        </w:rPr>
        <w:t xml:space="preserve">revision and primary </w:t>
      </w:r>
      <w:r w:rsidRPr="00B972F9">
        <w:rPr>
          <w:rFonts w:ascii="Times New Roman" w:hAnsi="Times New Roman" w:cs="Times New Roman"/>
          <w:sz w:val="16"/>
          <w:szCs w:val="16"/>
        </w:rPr>
        <w:t>groups’ regression coefficients assessed with linear contrasts.</w:t>
      </w:r>
    </w:p>
    <w:p w:rsidR="00812EA7" w:rsidRDefault="00812EA7"/>
    <w:sectPr w:rsidR="00812EA7" w:rsidSect="00157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00"/>
    <w:rsid w:val="00157400"/>
    <w:rsid w:val="00665E40"/>
    <w:rsid w:val="008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University of Bristol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Lenguerrand</dc:creator>
  <cp:lastModifiedBy>E Lenguerrand</cp:lastModifiedBy>
  <cp:revision>2</cp:revision>
  <dcterms:created xsi:type="dcterms:W3CDTF">2016-07-21T16:00:00Z</dcterms:created>
  <dcterms:modified xsi:type="dcterms:W3CDTF">2016-10-06T10:12:00Z</dcterms:modified>
</cp:coreProperties>
</file>