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72A" w:rsidRDefault="00D9143D" w:rsidP="00D9143D">
      <w:pPr>
        <w:pStyle w:val="Funotentext"/>
        <w:spacing w:line="480" w:lineRule="auto"/>
        <w:ind w:firstLine="0"/>
        <w:jc w:val="center"/>
        <w:rPr>
          <w:b/>
          <w:sz w:val="24"/>
          <w:szCs w:val="22"/>
        </w:rPr>
      </w:pPr>
      <w:r>
        <w:rPr>
          <w:b/>
          <w:sz w:val="24"/>
          <w:szCs w:val="22"/>
        </w:rPr>
        <w:t xml:space="preserve">S1 </w:t>
      </w:r>
      <w:r w:rsidR="00860077" w:rsidRPr="00860077">
        <w:rPr>
          <w:b/>
          <w:sz w:val="24"/>
          <w:szCs w:val="22"/>
        </w:rPr>
        <w:t xml:space="preserve">Supporting material: </w:t>
      </w:r>
      <w:r w:rsidR="00860077">
        <w:rPr>
          <w:b/>
          <w:sz w:val="24"/>
          <w:szCs w:val="22"/>
        </w:rPr>
        <w:t xml:space="preserve">Historical </w:t>
      </w:r>
      <w:r>
        <w:rPr>
          <w:b/>
          <w:sz w:val="24"/>
          <w:szCs w:val="22"/>
        </w:rPr>
        <w:t>and comparative perspective on</w:t>
      </w:r>
      <w:r w:rsidR="005C572A" w:rsidRPr="00860077">
        <w:rPr>
          <w:b/>
          <w:sz w:val="24"/>
          <w:szCs w:val="22"/>
        </w:rPr>
        <w:t xml:space="preserve"> the flows of displaced persons to Austria</w:t>
      </w:r>
    </w:p>
    <w:p w:rsidR="00D9143D" w:rsidRPr="00860077" w:rsidRDefault="00D9143D" w:rsidP="005C572A">
      <w:pPr>
        <w:pStyle w:val="Funotentext"/>
        <w:spacing w:line="480" w:lineRule="auto"/>
        <w:rPr>
          <w:b/>
          <w:sz w:val="24"/>
          <w:szCs w:val="22"/>
        </w:rPr>
      </w:pPr>
    </w:p>
    <w:p w:rsidR="001C30FB" w:rsidRDefault="00C0434F" w:rsidP="001C30FB">
      <w:pPr>
        <w:spacing w:line="480" w:lineRule="auto"/>
        <w:ind w:firstLine="0"/>
      </w:pPr>
      <w:r>
        <w:t xml:space="preserve">According to </w:t>
      </w:r>
      <w:r w:rsidRPr="00BF13F2">
        <w:t>asylum statistics by the Austrian Federal Ministry of the Interior, 88,</w:t>
      </w:r>
      <w:r>
        <w:t>098</w:t>
      </w:r>
      <w:r w:rsidRPr="00BF13F2">
        <w:t xml:space="preserve"> individuals applied for asylum in Austria in 2015</w:t>
      </w:r>
      <w:r>
        <w:t xml:space="preserve"> </w:t>
      </w:r>
      <w:r>
        <w:fldChar w:fldCharType="begin"/>
      </w:r>
      <w:r w:rsidR="0012541B">
        <w:instrText xml:space="preserve"> ADDIN EN.CITE &lt;EndNote&gt;&lt;Cite&gt;&lt;Author&gt;BMI&lt;/Author&gt;&lt;Year&gt;2016&lt;/Year&gt;&lt;RecNum&gt;1661&lt;/RecNum&gt;&lt;DisplayText&gt;(BMI 2016a)&lt;/DisplayText&gt;&lt;record&gt;&lt;rec-number&gt;1661&lt;/rec-number&gt;&lt;foreign-keys&gt;&lt;key app="EN" db-id="era50ffr1t2sa8evzdjvvwzz5ervewerzzzz" timestamp="1468309249"&gt;1661&lt;/key&gt;&lt;/foreign-keys&gt;&lt;ref-type name="Government Document"&gt;46&lt;/ref-type&gt;&lt;contributors&gt;&lt;authors&gt;&lt;author&gt;BMI,&lt;/author&gt;&lt;/authors&gt;&lt;/contributors&gt;&lt;titles&gt;&lt;title&gt;Asylstatistik 2015 [Asylum statistics 2015]&lt;/title&gt;&lt;/titles&gt;&lt;dates&gt;&lt;year&gt;2016&lt;/year&gt;&lt;/dates&gt;&lt;pub-location&gt;Vienna&lt;/pub-location&gt;&lt;publisher&gt;Austrian Federal Ministry of the Interior&lt;/publisher&gt;&lt;urls&gt;&lt;/urls&gt;&lt;/record&gt;&lt;/Cite&gt;&lt;/EndNote&gt;</w:instrText>
      </w:r>
      <w:r>
        <w:fldChar w:fldCharType="separate"/>
      </w:r>
      <w:r w:rsidR="0012541B">
        <w:rPr>
          <w:noProof/>
        </w:rPr>
        <w:t>(BMI 2016a)</w:t>
      </w:r>
      <w:r>
        <w:fldChar w:fldCharType="end"/>
      </w:r>
      <w:r w:rsidRPr="00BF13F2">
        <w:t>. In comparison, during the years 2014 and 2013</w:t>
      </w:r>
      <w:r>
        <w:t>,</w:t>
      </w:r>
      <w:r w:rsidRPr="00BF13F2">
        <w:t xml:space="preserve"> </w:t>
      </w:r>
      <w:r>
        <w:t>a</w:t>
      </w:r>
      <w:r w:rsidRPr="00BF13F2">
        <w:t xml:space="preserve"> total</w:t>
      </w:r>
      <w:r>
        <w:t xml:space="preserve"> of</w:t>
      </w:r>
      <w:r w:rsidRPr="00BF13F2">
        <w:t xml:space="preserve"> 28,0</w:t>
      </w:r>
      <w:r>
        <w:t>64</w:t>
      </w:r>
      <w:r w:rsidRPr="00BF13F2">
        <w:t xml:space="preserve"> and 17,503 asylum applications were recorded</w:t>
      </w:r>
      <w:r>
        <w:t>,</w:t>
      </w:r>
      <w:r w:rsidRPr="006C4F14">
        <w:t xml:space="preserve"> </w:t>
      </w:r>
      <w:r w:rsidRPr="00BF13F2">
        <w:t>respectively</w:t>
      </w:r>
      <w:r>
        <w:t>.</w:t>
      </w:r>
      <w:r w:rsidRPr="00BF13F2">
        <w:t xml:space="preserve"> The l</w:t>
      </w:r>
      <w:r w:rsidR="008578FE">
        <w:t xml:space="preserve">ast peak </w:t>
      </w:r>
      <w:r>
        <w:t xml:space="preserve">in this century took place </w:t>
      </w:r>
      <w:r w:rsidRPr="00BF13F2">
        <w:t xml:space="preserve">during the years 2001-2003, when </w:t>
      </w:r>
      <w:r>
        <w:t xml:space="preserve">approximately </w:t>
      </w:r>
      <w:r w:rsidRPr="00BF13F2">
        <w:t>30,000 to 40,000 applications were received annually</w:t>
      </w:r>
      <w:r>
        <w:t xml:space="preserve"> (</w:t>
      </w:r>
      <w:bookmarkStart w:id="0" w:name="_GoBack"/>
      <w:r>
        <w:t>Figure</w:t>
      </w:r>
      <w:bookmarkEnd w:id="0"/>
      <w:r>
        <w:t xml:space="preserve"> </w:t>
      </w:r>
      <w:r w:rsidR="00D9143D">
        <w:t>S</w:t>
      </w:r>
      <w:r w:rsidRPr="00BF13F2">
        <w:t>1</w:t>
      </w:r>
      <w:r w:rsidR="00D9143D">
        <w:t>a</w:t>
      </w:r>
      <w:r w:rsidR="00701DFE">
        <w:t>).</w:t>
      </w:r>
    </w:p>
    <w:p w:rsidR="00701DFE" w:rsidRDefault="00701DFE" w:rsidP="001C30FB">
      <w:pPr>
        <w:spacing w:line="480" w:lineRule="auto"/>
        <w:ind w:firstLine="0"/>
      </w:pPr>
    </w:p>
    <w:p w:rsidR="00C0434F" w:rsidRDefault="00C0434F" w:rsidP="00C0434F">
      <w:pPr>
        <w:pStyle w:val="berschrift4"/>
      </w:pPr>
      <w:r>
        <w:t xml:space="preserve">Figure </w:t>
      </w:r>
      <w:r w:rsidR="00D9143D">
        <w:t>S</w:t>
      </w:r>
      <w:r w:rsidRPr="00BF13F2">
        <w:t>1</w:t>
      </w:r>
      <w:r w:rsidR="00D9143D">
        <w:t>a</w:t>
      </w:r>
      <w:r w:rsidRPr="00BF13F2">
        <w:t xml:space="preserve">: </w:t>
      </w:r>
      <w:r w:rsidRPr="00BF13F2">
        <w:tab/>
        <w:t>Asylum applications in Austria since 1999</w:t>
      </w:r>
    </w:p>
    <w:p w:rsidR="00C0434F" w:rsidRDefault="00C0434F" w:rsidP="00C0434F">
      <w:pPr>
        <w:pStyle w:val="Untertitel"/>
        <w:ind w:firstLine="0"/>
      </w:pPr>
      <w:r>
        <w:rPr>
          <w:noProof/>
          <w:lang w:val="en-US"/>
        </w:rPr>
        <w:drawing>
          <wp:inline distT="0" distB="0" distL="0" distR="0" wp14:anchorId="04CDA5B2" wp14:editId="605A454D">
            <wp:extent cx="5214257" cy="2427514"/>
            <wp:effectExtent l="0" t="0" r="5715" b="11430"/>
            <wp:docPr id="3"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0434F" w:rsidRPr="00BF13F2" w:rsidRDefault="00C0434F" w:rsidP="00C0434F">
      <w:pPr>
        <w:pStyle w:val="Untertitel"/>
        <w:ind w:firstLine="0"/>
      </w:pPr>
      <w:r w:rsidRPr="00BF13F2">
        <w:t xml:space="preserve">Source: BMI </w:t>
      </w:r>
      <w:r>
        <w:fldChar w:fldCharType="begin"/>
      </w:r>
      <w:r w:rsidR="0012541B">
        <w:instrText xml:space="preserve"> ADDIN EN.CITE &lt;EndNote&gt;&lt;Cite ExcludeAuth="1"&gt;&lt;Author&gt;BMI&lt;/Author&gt;&lt;Year&gt;2013&lt;/Year&gt;&lt;RecNum&gt;1287&lt;/RecNum&gt;&lt;DisplayText&gt;(2013, 2016a)&lt;/DisplayText&gt;&lt;record&gt;&lt;rec-number&gt;1287&lt;/rec-number&gt;&lt;foreign-keys&gt;&lt;key app="EN" db-id="era50ffr1t2sa8evzdjvvwzz5ervewerzzzz" timestamp="1445517906"&gt;1287&lt;/key&gt;&lt;/foreign-keys&gt;&lt;ref-type name="Government Document"&gt;46&lt;/ref-type&gt;&lt;contributors&gt;&lt;authors&gt;&lt;author&gt;BMI,&lt;/author&gt;&lt;/authors&gt;&lt;/contributors&gt;&lt;titles&gt;&lt;title&gt;Asylanträge seit 1999 [Asylum applications since 1999]&lt;/title&gt;&lt;/titles&gt;&lt;dates&gt;&lt;year&gt;2013&lt;/year&gt;&lt;/dates&gt;&lt;pub-location&gt;Vienna&lt;/pub-location&gt;&lt;publisher&gt;Austrian Federal Ministry of the Interior&lt;/publisher&gt;&lt;urls&gt;&lt;/urls&gt;&lt;/record&gt;&lt;/Cite&gt;&lt;Cite&gt;&lt;Author&gt;BMI&lt;/Author&gt;&lt;Year&gt;2016&lt;/Year&gt;&lt;RecNum&gt;1661&lt;/RecNum&gt;&lt;record&gt;&lt;rec-number&gt;1661&lt;/rec-number&gt;&lt;foreign-keys&gt;&lt;key app="EN" db-id="era50ffr1t2sa8evzdjvvwzz5ervewerzzzz" timestamp="1468309249"&gt;1661&lt;/key&gt;&lt;/foreign-keys&gt;&lt;ref-type name="Government Document"&gt;46&lt;/ref-type&gt;&lt;contributors&gt;&lt;authors&gt;&lt;author&gt;BMI,&lt;/author&gt;&lt;/authors&gt;&lt;/contributors&gt;&lt;titles&gt;&lt;title&gt;Asylstatistik 2015 [Asylum statistics 2015]&lt;/title&gt;&lt;/titles&gt;&lt;dates&gt;&lt;year&gt;2016&lt;/year&gt;&lt;/dates&gt;&lt;pub-location&gt;Vienna&lt;/pub-location&gt;&lt;publisher&gt;Austrian Federal Ministry of the Interior&lt;/publisher&gt;&lt;urls&gt;&lt;/urls&gt;&lt;/record&gt;&lt;/Cite&gt;&lt;/EndNote&gt;</w:instrText>
      </w:r>
      <w:r>
        <w:fldChar w:fldCharType="separate"/>
      </w:r>
      <w:r w:rsidR="0012541B">
        <w:rPr>
          <w:noProof/>
        </w:rPr>
        <w:t>(2013, 2016a)</w:t>
      </w:r>
      <w:r>
        <w:fldChar w:fldCharType="end"/>
      </w:r>
      <w:r w:rsidRPr="00BF13F2">
        <w:t>.</w:t>
      </w:r>
    </w:p>
    <w:p w:rsidR="005C572A" w:rsidRDefault="005C572A"/>
    <w:p w:rsidR="0012541B" w:rsidRDefault="0012541B"/>
    <w:p w:rsidR="0012541B" w:rsidRDefault="0012541B" w:rsidP="0012541B">
      <w:pPr>
        <w:spacing w:line="480" w:lineRule="auto"/>
      </w:pPr>
      <w:r w:rsidRPr="00BF13F2">
        <w:t xml:space="preserve">Although </w:t>
      </w:r>
      <w:r w:rsidR="008578FE">
        <w:t xml:space="preserve">in 2015 </w:t>
      </w:r>
      <w:r w:rsidRPr="00BF13F2">
        <w:t xml:space="preserve">the majority of arriving </w:t>
      </w:r>
      <w:r w:rsidRPr="00BD73EF">
        <w:rPr>
          <w:color w:val="000000"/>
        </w:rPr>
        <w:t>persons r</w:t>
      </w:r>
      <w:r w:rsidRPr="00BF13F2">
        <w:t>egarded Austria as a transit country on their way to Germany</w:t>
      </w:r>
      <w:r w:rsidR="008578FE">
        <w:t xml:space="preserve"> or Scandinavia</w:t>
      </w:r>
      <w:r>
        <w:t>,</w:t>
      </w:r>
      <w:r w:rsidRPr="00BF13F2">
        <w:t xml:space="preserve"> asylum applications </w:t>
      </w:r>
      <w:r>
        <w:t xml:space="preserve">still </w:t>
      </w:r>
      <w:r w:rsidRPr="00BF13F2">
        <w:t xml:space="preserve">increased noticeably in the second half of the year from </w:t>
      </w:r>
      <w:r>
        <w:t xml:space="preserve">a </w:t>
      </w:r>
      <w:r w:rsidRPr="00BF13F2">
        <w:t>monthly</w:t>
      </w:r>
      <w:r>
        <w:t xml:space="preserve"> figure of</w:t>
      </w:r>
      <w:r w:rsidRPr="00BF13F2">
        <w:t xml:space="preserve"> 3,000-4,000 </w:t>
      </w:r>
      <w:r>
        <w:t>(</w:t>
      </w:r>
      <w:r w:rsidRPr="00BF13F2">
        <w:t>January-April</w:t>
      </w:r>
      <w:r>
        <w:t>)</w:t>
      </w:r>
      <w:r w:rsidRPr="00BF13F2">
        <w:t>, to 6,000-8,000 (May-June)</w:t>
      </w:r>
      <w:r>
        <w:t xml:space="preserve"> and </w:t>
      </w:r>
      <w:r w:rsidRPr="00BF13F2">
        <w:t>to 9,000-12,00</w:t>
      </w:r>
      <w:r w:rsidR="00D9143D">
        <w:t>0 (July-December) (Figure S1b</w:t>
      </w:r>
      <w:r>
        <w:t>).</w:t>
      </w:r>
      <w:r w:rsidRPr="006D24DB">
        <w:t xml:space="preserve"> </w:t>
      </w:r>
      <w:r w:rsidRPr="00BF13F2">
        <w:t>Monthly statistics show that</w:t>
      </w:r>
      <w:r>
        <w:t xml:space="preserve"> the</w:t>
      </w:r>
      <w:r w:rsidRPr="00BF13F2">
        <w:t xml:space="preserve"> </w:t>
      </w:r>
      <w:r>
        <w:t>autumn</w:t>
      </w:r>
      <w:r w:rsidRPr="00BF13F2">
        <w:t xml:space="preserve"> of 2015 was the season with the highest number of asylum applications.</w:t>
      </w:r>
    </w:p>
    <w:p w:rsidR="008578FE" w:rsidRDefault="008578FE" w:rsidP="0012541B">
      <w:pPr>
        <w:spacing w:line="480" w:lineRule="auto"/>
      </w:pPr>
    </w:p>
    <w:p w:rsidR="0012541B" w:rsidRDefault="008578FE" w:rsidP="00D9143D">
      <w:pPr>
        <w:spacing w:line="480" w:lineRule="auto"/>
      </w:pPr>
      <w:r w:rsidRPr="00C0434F">
        <w:lastRenderedPageBreak/>
        <w:t>In 2001, a total of 30,127 persons applied for asylum, the largest group being Afghans. In 2002, the largest groups were persons from Afghanistan, Serbia and Montenegro, Iraq and Turkey. In 2003, asylum seekers from the Russian Federation comprised by far the largest group, followed by persons from Turkey and India (BMI 2004; Statistics Austria 2015a).</w:t>
      </w:r>
    </w:p>
    <w:p w:rsidR="00701DFE" w:rsidRDefault="00701DFE" w:rsidP="00D9143D">
      <w:pPr>
        <w:spacing w:line="480" w:lineRule="auto"/>
      </w:pPr>
    </w:p>
    <w:p w:rsidR="0012541B" w:rsidRPr="00BF13F2" w:rsidRDefault="0012541B" w:rsidP="0012541B">
      <w:pPr>
        <w:pStyle w:val="berschrift4"/>
        <w:ind w:left="1440" w:hanging="1440"/>
      </w:pPr>
      <w:r>
        <w:t>Figure</w:t>
      </w:r>
      <w:r w:rsidR="00D9143D">
        <w:t xml:space="preserve"> S1b</w:t>
      </w:r>
      <w:r w:rsidRPr="00BF13F2">
        <w:t xml:space="preserve">: </w:t>
      </w:r>
      <w:r w:rsidRPr="00BF13F2">
        <w:tab/>
        <w:t>Asylum appl</w:t>
      </w:r>
      <w:r w:rsidR="000E247F">
        <w:t xml:space="preserve">ications in Austria in 2014, </w:t>
      </w:r>
      <w:r w:rsidRPr="00BF13F2">
        <w:t xml:space="preserve">2015 </w:t>
      </w:r>
      <w:r w:rsidR="000E247F">
        <w:t xml:space="preserve">and 2016 </w:t>
      </w:r>
      <w:r>
        <w:t>by</w:t>
      </w:r>
      <w:r w:rsidRPr="00BF13F2">
        <w:t xml:space="preserve"> nationality and month of application</w:t>
      </w:r>
    </w:p>
    <w:p w:rsidR="0012541B" w:rsidRDefault="00162F36" w:rsidP="0012541B">
      <w:pPr>
        <w:pStyle w:val="Untertitel"/>
        <w:ind w:firstLine="0"/>
      </w:pPr>
      <w:r>
        <w:rPr>
          <w:noProof/>
          <w:lang w:val="en-US"/>
        </w:rPr>
        <w:drawing>
          <wp:inline distT="0" distB="0" distL="0" distR="0" wp14:anchorId="6E0FBB5A" wp14:editId="2BC9B356">
            <wp:extent cx="5730949" cy="2604976"/>
            <wp:effectExtent l="0" t="0" r="3175" b="5080"/>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541B" w:rsidRDefault="0012541B" w:rsidP="0012541B">
      <w:pPr>
        <w:pStyle w:val="Untertitel"/>
        <w:ind w:firstLine="0"/>
      </w:pPr>
      <w:r w:rsidRPr="00BF13F2">
        <w:t xml:space="preserve">Source: BMI </w:t>
      </w:r>
      <w:r>
        <w:fldChar w:fldCharType="begin"/>
      </w:r>
      <w:r w:rsidR="00D9143D">
        <w:instrText xml:space="preserve"> ADDIN EN.CITE &lt;EndNote&gt;&lt;Cite ExcludeAuth="1"&gt;&lt;Author&gt;BMI&lt;/Author&gt;&lt;Year&gt;2015&lt;/Year&gt;&lt;RecNum&gt;1285&lt;/RecNum&gt;&lt;DisplayText&gt;(2015, 2016a, b)&lt;/DisplayText&gt;&lt;record&gt;&lt;rec-number&gt;1285&lt;/rec-number&gt;&lt;foreign-keys&gt;&lt;key app="EN" db-id="era50ffr1t2sa8evzdjvvwzz5ervewerzzzz" timestamp="1445517233"&gt;1285&lt;/key&gt;&lt;/foreign-keys&gt;&lt;ref-type name="Government Document"&gt;46&lt;/ref-type&gt;&lt;contributors&gt;&lt;authors&gt;&lt;author&gt;BMI,&lt;/author&gt;&lt;/authors&gt;&lt;/contributors&gt;&lt;titles&gt;&lt;title&gt;Asylstatistik Dezember 2014 [Asylum statistics December 2014]&lt;/title&gt;&lt;/titles&gt;&lt;dates&gt;&lt;year&gt;2015&lt;/year&gt;&lt;/dates&gt;&lt;pub-location&gt;Vienna&lt;/pub-location&gt;&lt;publisher&gt;Austrian Federal Ministry of the Interior&lt;/publisher&gt;&lt;urls&gt;&lt;/urls&gt;&lt;/record&gt;&lt;/Cite&gt;&lt;Cite&gt;&lt;Author&gt;BMI&lt;/Author&gt;&lt;Year&gt;2016&lt;/Year&gt;&lt;RecNum&gt;1606&lt;/RecNum&gt;&lt;record&gt;&lt;rec-number&gt;1606&lt;/rec-number&gt;&lt;foreign-keys&gt;&lt;key app="EN" db-id="era50ffr1t2sa8evzdjvvwzz5ervewerzzzz" timestamp="1465987125"&gt;1606&lt;/key&gt;&lt;/foreign-keys&gt;&lt;ref-type name="Government Document"&gt;46&lt;/ref-type&gt;&lt;contributors&gt;&lt;authors&gt;&lt;author&gt;BMI,&lt;/author&gt;&lt;/authors&gt;&lt;/contributors&gt;&lt;titles&gt;&lt;title&gt;Vorläufige Asylstatistik April 2016 [Preliminary asylum statistics April 2016]&lt;/title&gt;&lt;/titles&gt;&lt;dates&gt;&lt;year&gt;2016&lt;/year&gt;&lt;/dates&gt;&lt;pub-location&gt;Vienna&lt;/pub-location&gt;&lt;publisher&gt;Austrian Federal Ministry of the Interior&lt;/publisher&gt;&lt;urls&gt;&lt;/urls&gt;&lt;/record&gt;&lt;/Cite&gt;&lt;Cite&gt;&lt;Author&gt;BMI&lt;/Author&gt;&lt;Year&gt;2016&lt;/Year&gt;&lt;RecNum&gt;1661&lt;/RecNum&gt;&lt;record&gt;&lt;rec-number&gt;1661&lt;/rec-number&gt;&lt;foreign-keys&gt;&lt;key app="EN" db-id="era50ffr1t2sa8evzdjvvwzz5ervewerzzzz" timestamp="1468309249"&gt;1661&lt;/key&gt;&lt;/foreign-keys&gt;&lt;ref-type name="Government Document"&gt;46&lt;/ref-type&gt;&lt;contributors&gt;&lt;authors&gt;&lt;author&gt;BMI,&lt;/author&gt;&lt;/authors&gt;&lt;/contributors&gt;&lt;titles&gt;&lt;title&gt;Asylstatistik 2015 [Asylum statistics 2015]&lt;/title&gt;&lt;/titles&gt;&lt;dates&gt;&lt;year&gt;2016&lt;/year&gt;&lt;/dates&gt;&lt;pub-location&gt;Vienna&lt;/pub-location&gt;&lt;publisher&gt;Austrian Federal Ministry of the Interior&lt;/publisher&gt;&lt;urls&gt;&lt;/urls&gt;&lt;/record&gt;&lt;/Cite&gt;&lt;/EndNote&gt;</w:instrText>
      </w:r>
      <w:r>
        <w:fldChar w:fldCharType="separate"/>
      </w:r>
      <w:r w:rsidR="00D9143D">
        <w:rPr>
          <w:noProof/>
        </w:rPr>
        <w:t>(2015, 2016a, b)</w:t>
      </w:r>
      <w:r>
        <w:fldChar w:fldCharType="end"/>
      </w:r>
      <w:r>
        <w:t>.</w:t>
      </w:r>
    </w:p>
    <w:p w:rsidR="005C572A" w:rsidRDefault="005C572A" w:rsidP="00D9143D">
      <w:pPr>
        <w:ind w:firstLine="0"/>
      </w:pPr>
    </w:p>
    <w:p w:rsidR="00860077" w:rsidRDefault="00860077"/>
    <w:p w:rsidR="00860077" w:rsidRPr="00BF13F2" w:rsidRDefault="00860077" w:rsidP="00860077">
      <w:pPr>
        <w:spacing w:line="480" w:lineRule="auto"/>
      </w:pPr>
      <w:r w:rsidRPr="00BF13F2">
        <w:t>The Austrian Federal Ministry of the Interior publishes monthly asylum statistics, which include asylum seekers’ nationalities and hence show the development of this d</w:t>
      </w:r>
      <w:r w:rsidR="002710F6">
        <w:t>emographic over time (Figure S1b</w:t>
      </w:r>
      <w:r w:rsidRPr="00BF13F2">
        <w:t xml:space="preserve">). As </w:t>
      </w:r>
      <w:r>
        <w:t xml:space="preserve">the </w:t>
      </w:r>
      <w:r w:rsidRPr="00BF13F2">
        <w:t xml:space="preserve">field phase of </w:t>
      </w:r>
      <w:r>
        <w:t xml:space="preserve">the </w:t>
      </w:r>
      <w:r w:rsidR="002710F6">
        <w:t>Displaced Persons in Austria Survey (DiPAS</w:t>
      </w:r>
      <w:r>
        <w:t>)</w:t>
      </w:r>
      <w:r w:rsidRPr="00BF13F2">
        <w:t xml:space="preserve"> was in November, </w:t>
      </w:r>
      <w:r w:rsidR="00D9143D">
        <w:t xml:space="preserve">we briefly </w:t>
      </w:r>
      <w:r w:rsidRPr="00BF13F2">
        <w:t>focu</w:t>
      </w:r>
      <w:r w:rsidR="00D9143D">
        <w:t xml:space="preserve">s </w:t>
      </w:r>
      <w:r w:rsidRPr="00BF13F2">
        <w:t xml:space="preserve">on September and October 2015. </w:t>
      </w:r>
      <w:r w:rsidR="00D9143D">
        <w:t>During these two months, o</w:t>
      </w:r>
      <w:r w:rsidRPr="00BF13F2">
        <w:t>ne-third of asylum s</w:t>
      </w:r>
      <w:r w:rsidR="00D9143D">
        <w:t>eekers</w:t>
      </w:r>
      <w:r w:rsidRPr="00BF13F2">
        <w:t xml:space="preserve"> were Syrian, 21% were Iraqi and approximately one-quarter (27%) were Afghan, while the nationality of the remaining 18% was given as “other”. In other words, 8 out of 10 asylum seekers who arrived in September and October 2015 originate from Syria, Ir</w:t>
      </w:r>
      <w:r w:rsidR="00D9143D">
        <w:t>aq or Afghanistan</w:t>
      </w:r>
      <w:r>
        <w:t>.</w:t>
      </w:r>
      <w:r w:rsidR="001C30FB">
        <w:t xml:space="preserve"> </w:t>
      </w:r>
      <w:r w:rsidR="00D9143D">
        <w:t xml:space="preserve">The composition of asylum seekers by citizenship varies over time. </w:t>
      </w:r>
      <w:r w:rsidR="001C30FB" w:rsidRPr="001C30FB">
        <w:t xml:space="preserve">In 2014, 28% of all asylum seekers were Syrian, 4% Iraqi, and 18% Afghan, while half (50%) came from other </w:t>
      </w:r>
      <w:r w:rsidR="001C30FB" w:rsidRPr="001C30FB">
        <w:lastRenderedPageBreak/>
        <w:t>countries.</w:t>
      </w:r>
      <w:r w:rsidRPr="00BF13F2">
        <w:t xml:space="preserve"> In 2014, the composition of asylum seekers’ nationalities was substantially different. </w:t>
      </w:r>
      <w:r w:rsidR="00D9143D">
        <w:t>Moreover, t</w:t>
      </w:r>
      <w:r w:rsidRPr="00BF13F2">
        <w:t xml:space="preserve">he citizenship of asylum seekers varies greatly </w:t>
      </w:r>
      <w:r w:rsidR="00D9143D">
        <w:t xml:space="preserve">between countries. As an example, Figure </w:t>
      </w:r>
      <w:r w:rsidR="002710F6">
        <w:t>S1c</w:t>
      </w:r>
      <w:r w:rsidR="00162F36">
        <w:t xml:space="preserve"> visualiz</w:t>
      </w:r>
      <w:r w:rsidR="002710F6">
        <w:t>es</w:t>
      </w:r>
      <w:r w:rsidRPr="00BF13F2">
        <w:t xml:space="preserve"> the </w:t>
      </w:r>
      <w:r w:rsidR="00D9143D">
        <w:t xml:space="preserve">citizenship of asylum seekers in the </w:t>
      </w:r>
      <w:r w:rsidRPr="00BF13F2">
        <w:t xml:space="preserve">three </w:t>
      </w:r>
      <w:r w:rsidR="00D9143D">
        <w:t xml:space="preserve">neighbouring </w:t>
      </w:r>
      <w:r w:rsidRPr="00BF13F2">
        <w:t>German-speaking countries Germany, Aus</w:t>
      </w:r>
      <w:r w:rsidR="00D9143D">
        <w:t>tria, and Switzerland</w:t>
      </w:r>
      <w:r w:rsidR="002710F6">
        <w:t xml:space="preserve"> as well as Norway and Sweden</w:t>
      </w:r>
      <w:r w:rsidRPr="00BF13F2">
        <w:t>.</w:t>
      </w:r>
    </w:p>
    <w:p w:rsidR="00860077" w:rsidRPr="00BF13F2" w:rsidRDefault="00860077" w:rsidP="00860077">
      <w:pPr>
        <w:pStyle w:val="berschrift4"/>
        <w:ind w:left="1440" w:hanging="1440"/>
      </w:pPr>
    </w:p>
    <w:p w:rsidR="00860077" w:rsidRPr="00F67565" w:rsidRDefault="00D9143D" w:rsidP="00F67565">
      <w:pPr>
        <w:pStyle w:val="berschrift4"/>
        <w:ind w:left="1440" w:hanging="1440"/>
      </w:pPr>
      <w:r>
        <w:t>Figure S1c</w:t>
      </w:r>
      <w:r w:rsidR="00860077" w:rsidRPr="00BF13F2">
        <w:t xml:space="preserve">: </w:t>
      </w:r>
      <w:r w:rsidR="00860077" w:rsidRPr="00BF13F2">
        <w:tab/>
        <w:t>Comparison of the citizenship of asylu</w:t>
      </w:r>
      <w:r w:rsidR="00F67565">
        <w:t xml:space="preserve">m seekers arriving in Austria, Germany, </w:t>
      </w:r>
      <w:r w:rsidR="00860077" w:rsidRPr="00BF13F2">
        <w:t>Swit</w:t>
      </w:r>
      <w:r w:rsidR="00F67565">
        <w:t>zerland, Sweden and Norway</w:t>
      </w:r>
      <w:r w:rsidR="00860077" w:rsidRPr="00BF13F2">
        <w:t xml:space="preserve"> in 2015</w:t>
      </w:r>
    </w:p>
    <w:p w:rsidR="00F67565" w:rsidRDefault="00B37ADB" w:rsidP="00860077">
      <w:pPr>
        <w:ind w:firstLine="0"/>
        <w:rPr>
          <w:b/>
        </w:rPr>
      </w:pPr>
      <w:r>
        <w:rPr>
          <w:noProof/>
          <w:lang w:val="en-US"/>
        </w:rPr>
        <w:drawing>
          <wp:inline distT="0" distB="0" distL="0" distR="0" wp14:anchorId="2C31859B" wp14:editId="69BA1BD9">
            <wp:extent cx="3992880" cy="5638800"/>
            <wp:effectExtent l="0" t="0" r="7620" b="0"/>
            <wp:docPr id="4" name="Diagram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67565" w:rsidRPr="00BF13F2" w:rsidRDefault="00F67565" w:rsidP="00860077">
      <w:pPr>
        <w:ind w:firstLine="0"/>
        <w:rPr>
          <w:b/>
        </w:rPr>
      </w:pPr>
    </w:p>
    <w:p w:rsidR="00F67565" w:rsidRDefault="00F67565" w:rsidP="00860077">
      <w:pPr>
        <w:pStyle w:val="Untertitel"/>
        <w:ind w:firstLine="0"/>
      </w:pPr>
      <w:r>
        <w:t>Sources: BMI</w:t>
      </w:r>
      <w:r w:rsidR="00701DFE">
        <w:t xml:space="preserve"> </w:t>
      </w:r>
      <w:r w:rsidR="00701DFE">
        <w:fldChar w:fldCharType="begin"/>
      </w:r>
      <w:r w:rsidR="00701DFE">
        <w:instrText xml:space="preserve"> ADDIN EN.CITE &lt;EndNote&gt;&lt;Cite ExcludeAuth="1"&gt;&lt;Author&gt;BMI&lt;/Author&gt;&lt;Year&gt;2016&lt;/Year&gt;&lt;RecNum&gt;1661&lt;/RecNum&gt;&lt;DisplayText&gt;(2016a)&lt;/DisplayText&gt;&lt;record&gt;&lt;rec-number&gt;1661&lt;/rec-number&gt;&lt;foreign-keys&gt;&lt;key app="EN" db-id="era50ffr1t2sa8evzdjvvwzz5ervewerzzzz" timestamp="1468309249"&gt;1661&lt;/key&gt;&lt;/foreign-keys&gt;&lt;ref-type name="Government Document"&gt;46&lt;/ref-type&gt;&lt;contributors&gt;&lt;authors&gt;&lt;author&gt;BMI,&lt;/author&gt;&lt;/authors&gt;&lt;/contributors&gt;&lt;titles&gt;&lt;title&gt;Asylstatistik 2015 [Asylum statistics 2015]&lt;/title&gt;&lt;/titles&gt;&lt;dates&gt;&lt;year&gt;2016&lt;/year&gt;&lt;/dates&gt;&lt;pub-location&gt;Vienna&lt;/pub-location&gt;&lt;publisher&gt;Austrian Federal Ministry of the Interior&lt;/publisher&gt;&lt;urls&gt;&lt;/urls&gt;&lt;/record&gt;&lt;/Cite&gt;&lt;/EndNote&gt;</w:instrText>
      </w:r>
      <w:r w:rsidR="00701DFE">
        <w:fldChar w:fldCharType="separate"/>
      </w:r>
      <w:r w:rsidR="00701DFE">
        <w:rPr>
          <w:noProof/>
        </w:rPr>
        <w:t>(2016a)</w:t>
      </w:r>
      <w:r w:rsidR="00701DFE">
        <w:fldChar w:fldCharType="end"/>
      </w:r>
      <w:r>
        <w:t xml:space="preserve">, BAMF </w:t>
      </w:r>
      <w:r>
        <w:fldChar w:fldCharType="begin"/>
      </w:r>
      <w:r>
        <w:instrText xml:space="preserve"> ADDIN EN.CITE &lt;EndNote&gt;&lt;Cite ExcludeAuth="1"&gt;&lt;Author&gt;BAMF&lt;/Author&gt;&lt;Year&gt;2016&lt;/Year&gt;&lt;RecNum&gt;1302&lt;/RecNum&gt;&lt;DisplayText&gt;(2016)&lt;/DisplayText&gt;&lt;record&gt;&lt;rec-number&gt;1302&lt;/rec-number&gt;&lt;foreign-keys&gt;&lt;key app="EN" db-id="era50ffr1t2sa8evzdjvvwzz5ervewerzzzz" timestamp="1453114478"&gt;1302&lt;/key&gt;&lt;/foreign-keys&gt;&lt;ref-type name="Government Document"&gt;46&lt;/ref-type&gt;&lt;contributors&gt;&lt;authors&gt;&lt;author&gt;BAMF,&lt;/author&gt;&lt;/authors&gt;&lt;/contributors&gt;&lt;titles&gt;&lt;title&gt;Asylgeschäftsstatistik für den Monat Dezember 2015 [Asylum statistics for December 2015]&lt;/title&gt;&lt;/titles&gt;&lt;dates&gt;&lt;year&gt;2016&lt;/year&gt;&lt;/dates&gt;&lt;pub-location&gt;Nürnberg&lt;/pub-location&gt;&lt;publisher&gt;Bundesamt für Migration und Flüchtlinge [Federal Office for Migration and Refugees]&lt;/publisher&gt;&lt;urls&gt;&lt;/urls&gt;&lt;/record&gt;&lt;/Cite&gt;&lt;/EndNote&gt;</w:instrText>
      </w:r>
      <w:r>
        <w:fldChar w:fldCharType="separate"/>
      </w:r>
      <w:r>
        <w:rPr>
          <w:noProof/>
        </w:rPr>
        <w:t>(2016)</w:t>
      </w:r>
      <w:r>
        <w:fldChar w:fldCharType="end"/>
      </w:r>
      <w:r>
        <w:t xml:space="preserve">, EJPD </w:t>
      </w:r>
      <w:r>
        <w:fldChar w:fldCharType="begin"/>
      </w:r>
      <w:r>
        <w:instrText xml:space="preserve"> ADDIN EN.CITE &lt;EndNote&gt;&lt;Cite ExcludeAuth="1"&gt;&lt;Author&gt;EJPD&lt;/Author&gt;&lt;Year&gt;2016&lt;/Year&gt;&lt;RecNum&gt;1552&lt;/RecNum&gt;&lt;DisplayText&gt;(2016)&lt;/DisplayText&gt;&lt;record&gt;&lt;rec-number&gt;1552&lt;/rec-number&gt;&lt;foreign-keys&gt;&lt;key app="EN" db-id="era50ffr1t2sa8evzdjvvwzz5ervewerzzzz" timestamp="1465482882"&gt;1552&lt;/key&gt;&lt;/foreign-keys&gt;&lt;ref-type name="Government Document"&gt;46&lt;/ref-type&gt;&lt;contributors&gt;&lt;authors&gt;&lt;author&gt;EJPD,&lt;/author&gt;&lt;/authors&gt;&lt;/contributors&gt;&lt;titles&gt;&lt;title&gt;Asylstatistik 2015 [Asylum statistics 2015]&lt;/title&gt;&lt;/titles&gt;&lt;dates&gt;&lt;year&gt;2016&lt;/year&gt;&lt;/dates&gt;&lt;pub-location&gt;Bern-Wabern&lt;/pub-location&gt;&lt;publisher&gt;Eidgenössisches Justiz- und Polizeidepartement EJPD [Federal Department of Justice and Police]&lt;/publisher&gt;&lt;urls&gt;&lt;related-urls&gt;&lt;url&gt;https://www.sem.admin.ch/dam/data/sem/publiservice/statistik/asylstatistik/2015/stat-jahr-2015-kommentar-d.pdf&lt;/url&gt;&lt;/related-urls&gt;&lt;/urls&gt;&lt;/record&gt;&lt;/Cite&gt;&lt;/EndNote&gt;</w:instrText>
      </w:r>
      <w:r>
        <w:fldChar w:fldCharType="separate"/>
      </w:r>
      <w:r>
        <w:rPr>
          <w:noProof/>
        </w:rPr>
        <w:t>(2016)</w:t>
      </w:r>
      <w:r>
        <w:fldChar w:fldCharType="end"/>
      </w:r>
      <w:r>
        <w:t xml:space="preserve">, UDI </w:t>
      </w:r>
      <w:r>
        <w:fldChar w:fldCharType="begin"/>
      </w:r>
      <w:r>
        <w:instrText xml:space="preserve"> ADDIN EN.CITE &lt;EndNote&gt;&lt;Cite ExcludeAuth="1"&gt;&lt;Author&gt;UDI&lt;/Author&gt;&lt;Year&gt;2016&lt;/Year&gt;&lt;RecNum&gt;1710&lt;/RecNum&gt;&lt;DisplayText&gt;(2016)&lt;/DisplayText&gt;&lt;record&gt;&lt;rec-number&gt;1710&lt;/rec-number&gt;&lt;foreign-keys&gt;&lt;key app="EN" db-id="era50ffr1t2sa8evzdjvvwzz5ervewerzzzz" timestamp="1470050733"&gt;1710&lt;/key&gt;&lt;/foreign-keys&gt;&lt;ref-type name="Online Database"&gt;45&lt;/ref-type&gt;&lt;contributors&gt;&lt;authors&gt;&lt;author&gt;UDI,&lt;/author&gt;&lt;/authors&gt;&lt;/contributors&gt;&lt;titles&gt;&lt;title&gt;Asylum applications lodged in Norway by citizenship and month (2015)&lt;/title&gt;&lt;/titles&gt;&lt;dates&gt;&lt;year&gt;2016&lt;/year&gt;&lt;/dates&gt;&lt;pub-location&gt;Oslo&lt;/pub-location&gt;&lt;publisher&gt;UDI (Norwegian Directorate of Immigration)&lt;/publisher&gt;&lt;urls&gt;&lt;related-urls&gt;&lt;url&gt;https://www.udi.no/en/statistics-and-analysis/statistics/asylsoknader-etter-statsborgerskap-og-maned-2015/&lt;/url&gt;&lt;/related-urls&gt;&lt;/urls&gt;&lt;/record&gt;&lt;/Cite&gt;&lt;/EndNote&gt;</w:instrText>
      </w:r>
      <w:r>
        <w:fldChar w:fldCharType="separate"/>
      </w:r>
      <w:r>
        <w:rPr>
          <w:noProof/>
        </w:rPr>
        <w:t>(2016)</w:t>
      </w:r>
      <w:r>
        <w:fldChar w:fldCharType="end"/>
      </w:r>
      <w:r>
        <w:t xml:space="preserve">, Migrationsverket </w:t>
      </w:r>
      <w:r>
        <w:fldChar w:fldCharType="begin"/>
      </w:r>
      <w:r>
        <w:instrText xml:space="preserve"> ADDIN EN.CITE &lt;EndNote&gt;&lt;Cite ExcludeAuth="1"&gt;&lt;Author&gt;Migrationsverket&lt;/Author&gt;&lt;Year&gt;2016&lt;/Year&gt;&lt;RecNum&gt;1389&lt;/RecNum&gt;&lt;DisplayText&gt;(2016)&lt;/DisplayText&gt;&lt;record&gt;&lt;rec-number&gt;1389&lt;/rec-number&gt;&lt;foreign-keys&gt;&lt;key app="EN" db-id="era50ffr1t2sa8evzdjvvwzz5ervewerzzzz" timestamp="1455270129"&gt;1389&lt;/key&gt;&lt;/foreign-keys&gt;&lt;ref-type name="Government Document"&gt;46&lt;/ref-type&gt;&lt;contributors&gt;&lt;authors&gt;&lt;author&gt;Migrationsverket&lt;/author&gt;&lt;/authors&gt;&lt;/contributors&gt;&lt;titles&gt;&lt;title&gt;Asylum applications&lt;/title&gt;&lt;/titles&gt;&lt;dates&gt;&lt;year&gt;2016&lt;/year&gt;&lt;/dates&gt;&lt;pub-location&gt;Stockholm&lt;/pub-location&gt;&lt;publisher&gt;Migrationsverket [Swedish Migration Agency]&lt;/publisher&gt;&lt;urls&gt;&lt;related-urls&gt;&lt;url&gt;http://www.migrationsverket.se/download/18.7c00d8e6143101d166d1aab/1451894593595/Inkomna+ans%C3%B6kningar+om+asyl+2015+-+Applications+for+asylum+received+2015.pdf&lt;/url&gt;&lt;/related-urls&gt;&lt;/urls&gt;&lt;/record&gt;&lt;/Cite&gt;&lt;/EndNote&gt;</w:instrText>
      </w:r>
      <w:r>
        <w:fldChar w:fldCharType="separate"/>
      </w:r>
      <w:r>
        <w:rPr>
          <w:noProof/>
        </w:rPr>
        <w:t>(2016)</w:t>
      </w:r>
      <w:r>
        <w:fldChar w:fldCharType="end"/>
      </w:r>
    </w:p>
    <w:p w:rsidR="00F67565" w:rsidRDefault="00860077" w:rsidP="00860077">
      <w:pPr>
        <w:pStyle w:val="Untertitel"/>
        <w:ind w:firstLine="0"/>
      </w:pPr>
      <w:r w:rsidRPr="00BF13F2">
        <w:t xml:space="preserve">Remark: </w:t>
      </w:r>
      <w:r w:rsidR="00F67565">
        <w:t>For Germany and Switzerland available data include not all nationalities and are restricted to the ten most frequent nationalities.</w:t>
      </w:r>
    </w:p>
    <w:p w:rsidR="00701DFE" w:rsidRPr="00701DFE" w:rsidRDefault="00701DFE" w:rsidP="00701DFE">
      <w:pPr>
        <w:ind w:firstLine="0"/>
        <w:rPr>
          <w:b/>
        </w:rPr>
      </w:pPr>
      <w:r w:rsidRPr="00701DFE">
        <w:rPr>
          <w:b/>
        </w:rPr>
        <w:lastRenderedPageBreak/>
        <w:t>References</w:t>
      </w:r>
    </w:p>
    <w:p w:rsidR="00701DFE" w:rsidRPr="00701DFE" w:rsidRDefault="00701DFE" w:rsidP="00701DFE"/>
    <w:p w:rsidR="00860077" w:rsidRPr="007F3253" w:rsidRDefault="00860077" w:rsidP="00D9143D">
      <w:pPr>
        <w:ind w:firstLine="0"/>
        <w:rPr>
          <w:lang w:val="en-US"/>
        </w:rPr>
      </w:pPr>
    </w:p>
    <w:p w:rsidR="00701DFE" w:rsidRPr="00701DFE" w:rsidRDefault="005C572A" w:rsidP="00701DFE">
      <w:pPr>
        <w:pStyle w:val="EndNoteBibliography"/>
        <w:ind w:left="720" w:hanging="720"/>
      </w:pPr>
      <w:r>
        <w:fldChar w:fldCharType="begin"/>
      </w:r>
      <w:r w:rsidRPr="002710F6">
        <w:instrText xml:space="preserve"> ADDIN EN.REFLIST </w:instrText>
      </w:r>
      <w:r>
        <w:fldChar w:fldCharType="separate"/>
      </w:r>
      <w:r w:rsidR="00701DFE" w:rsidRPr="00701DFE">
        <w:t xml:space="preserve">BAMF. 2016. </w:t>
      </w:r>
      <w:r w:rsidR="00701DFE" w:rsidRPr="00701DFE">
        <w:rPr>
          <w:i/>
        </w:rPr>
        <w:t>Asylgeschäftsstatistik Für Den Monat Dezember 2015 [Asylum Statistics for December 2015].</w:t>
      </w:r>
      <w:r w:rsidR="00701DFE" w:rsidRPr="00701DFE">
        <w:t xml:space="preserve"> Nürnberg: Bundesamt für Migration und Flüchtlinge [Federal Office for Migration and Refugees].</w:t>
      </w:r>
    </w:p>
    <w:p w:rsidR="00701DFE" w:rsidRPr="00701DFE" w:rsidRDefault="00701DFE" w:rsidP="00701DFE">
      <w:pPr>
        <w:pStyle w:val="EndNoteBibliography"/>
        <w:ind w:left="720" w:hanging="720"/>
      </w:pPr>
      <w:r w:rsidRPr="00701DFE">
        <w:t xml:space="preserve">BMI. 2013. </w:t>
      </w:r>
      <w:r w:rsidRPr="00701DFE">
        <w:rPr>
          <w:i/>
        </w:rPr>
        <w:t>Asylanträge Seit 1999 [Asylum Applications since 1999].</w:t>
      </w:r>
      <w:r w:rsidRPr="00701DFE">
        <w:t xml:space="preserve"> Vienna: Austrian Federal Ministry of the Interior.</w:t>
      </w:r>
    </w:p>
    <w:p w:rsidR="00701DFE" w:rsidRPr="00701DFE" w:rsidRDefault="00701DFE" w:rsidP="00701DFE">
      <w:pPr>
        <w:pStyle w:val="EndNoteBibliography"/>
        <w:ind w:left="720" w:hanging="720"/>
      </w:pPr>
      <w:r w:rsidRPr="00701DFE">
        <w:t xml:space="preserve">BMI. 2015. </w:t>
      </w:r>
      <w:r w:rsidRPr="00701DFE">
        <w:rPr>
          <w:i/>
        </w:rPr>
        <w:t>Asylstatistik Dezember 2014 [Asylum Statistics December 2014].</w:t>
      </w:r>
      <w:r w:rsidRPr="00701DFE">
        <w:t xml:space="preserve"> Vienna: Austrian Federal Ministry of the Interior.</w:t>
      </w:r>
    </w:p>
    <w:p w:rsidR="00701DFE" w:rsidRPr="00701DFE" w:rsidRDefault="00701DFE" w:rsidP="00701DFE">
      <w:pPr>
        <w:pStyle w:val="EndNoteBibliography"/>
        <w:ind w:left="720" w:hanging="720"/>
      </w:pPr>
      <w:r w:rsidRPr="00701DFE">
        <w:t xml:space="preserve">BMI. 2016a. </w:t>
      </w:r>
      <w:r w:rsidRPr="00701DFE">
        <w:rPr>
          <w:i/>
        </w:rPr>
        <w:t>Asylstatistik 2015 [Asylum Statistics 2015].</w:t>
      </w:r>
      <w:r w:rsidRPr="00701DFE">
        <w:t xml:space="preserve"> Vienna: Austrian Federal Ministry of the Interior.</w:t>
      </w:r>
    </w:p>
    <w:p w:rsidR="00701DFE" w:rsidRPr="00701DFE" w:rsidRDefault="00701DFE" w:rsidP="00701DFE">
      <w:pPr>
        <w:pStyle w:val="EndNoteBibliography"/>
        <w:ind w:left="720" w:hanging="720"/>
      </w:pPr>
      <w:r w:rsidRPr="00701DFE">
        <w:t xml:space="preserve">BMI. 2016b. </w:t>
      </w:r>
      <w:r w:rsidRPr="00701DFE">
        <w:rPr>
          <w:i/>
        </w:rPr>
        <w:t>Vorläufige Asylstatistik April 2016 [Preliminary Asylum Statistics April 2016].</w:t>
      </w:r>
      <w:r w:rsidRPr="00701DFE">
        <w:t xml:space="preserve"> Vienna: Austrian Federal Ministry of the Interior.</w:t>
      </w:r>
    </w:p>
    <w:p w:rsidR="00701DFE" w:rsidRPr="00701DFE" w:rsidRDefault="00701DFE" w:rsidP="00701DFE">
      <w:pPr>
        <w:pStyle w:val="EndNoteBibliography"/>
        <w:ind w:left="720" w:hanging="720"/>
      </w:pPr>
      <w:r w:rsidRPr="00701DFE">
        <w:t xml:space="preserve">EJPD. 2016. </w:t>
      </w:r>
      <w:r w:rsidRPr="00701DFE">
        <w:rPr>
          <w:i/>
        </w:rPr>
        <w:t>Asylstatistik 2015 [Asylum Statistics 2015].</w:t>
      </w:r>
      <w:r w:rsidRPr="00701DFE">
        <w:t xml:space="preserve"> Bern-Wabern: Eidgenössisches Justiz- und Polizeidepartement EJPD [Federal Department of Justice and Police] (</w:t>
      </w:r>
      <w:hyperlink r:id="rId11" w:history="1">
        <w:r w:rsidRPr="00701DFE">
          <w:rPr>
            <w:rStyle w:val="Hyperlink"/>
          </w:rPr>
          <w:t>https://www.sem.admin.ch/dam/data/sem/publiservice/statistik/asylstatistik/2015/stat-jahr-2015-kommentar-d.pdf)</w:t>
        </w:r>
      </w:hyperlink>
      <w:r w:rsidRPr="00701DFE">
        <w:t>.</w:t>
      </w:r>
    </w:p>
    <w:p w:rsidR="00701DFE" w:rsidRPr="00701DFE" w:rsidRDefault="00701DFE" w:rsidP="00701DFE">
      <w:pPr>
        <w:pStyle w:val="EndNoteBibliography"/>
        <w:ind w:left="720" w:hanging="720"/>
      </w:pPr>
      <w:r w:rsidRPr="00701DFE">
        <w:t xml:space="preserve">Migrationsverket. 2016. </w:t>
      </w:r>
      <w:r w:rsidRPr="00701DFE">
        <w:rPr>
          <w:i/>
        </w:rPr>
        <w:t>Asylum Applications.</w:t>
      </w:r>
      <w:r w:rsidRPr="00701DFE">
        <w:t xml:space="preserve"> Stockholm: Migrationsverket [Swedish Migration Agency] (</w:t>
      </w:r>
      <w:hyperlink r:id="rId12" w:history="1">
        <w:r w:rsidRPr="00701DFE">
          <w:rPr>
            <w:rStyle w:val="Hyperlink"/>
          </w:rPr>
          <w:t>http://www.migrationsverket.se/download/18.7c00d8e6143101d166d1aab/1451894593595/Inkomna+ans%C3%B6kningar+om+asyl+2015+-+Applications+for+asylum+received+2015.pdf)</w:t>
        </w:r>
      </w:hyperlink>
      <w:r w:rsidRPr="00701DFE">
        <w:t>.</w:t>
      </w:r>
    </w:p>
    <w:p w:rsidR="00701DFE" w:rsidRPr="00701DFE" w:rsidRDefault="00701DFE" w:rsidP="00701DFE">
      <w:pPr>
        <w:pStyle w:val="EndNoteBibliography"/>
        <w:ind w:left="720" w:hanging="720"/>
      </w:pPr>
      <w:r w:rsidRPr="00701DFE">
        <w:t>UDI. 2016. "Asylum Applications Lodged in Norway by Citizenship and Month (2015)." Oslo: UDI (Norwegian Directorate of Immigration).</w:t>
      </w:r>
    </w:p>
    <w:p w:rsidR="00436701" w:rsidRDefault="005C572A">
      <w:r>
        <w:fldChar w:fldCharType="end"/>
      </w:r>
    </w:p>
    <w:sectPr w:rsidR="0043670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5DC" w:rsidRDefault="00CA45DC" w:rsidP="00C0434F">
      <w:r>
        <w:separator/>
      </w:r>
    </w:p>
  </w:endnote>
  <w:endnote w:type="continuationSeparator" w:id="0">
    <w:p w:rsidR="00CA45DC" w:rsidRDefault="00CA45DC" w:rsidP="00C04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3339201"/>
      <w:docPartObj>
        <w:docPartGallery w:val="Page Numbers (Bottom of Page)"/>
        <w:docPartUnique/>
      </w:docPartObj>
    </w:sdtPr>
    <w:sdtEndPr/>
    <w:sdtContent>
      <w:p w:rsidR="00701DFE" w:rsidRDefault="00701DFE">
        <w:pPr>
          <w:pStyle w:val="Fuzeile"/>
          <w:jc w:val="center"/>
        </w:pPr>
        <w:r>
          <w:fldChar w:fldCharType="begin"/>
        </w:r>
        <w:r>
          <w:instrText>PAGE   \* MERGEFORMAT</w:instrText>
        </w:r>
        <w:r>
          <w:fldChar w:fldCharType="separate"/>
        </w:r>
        <w:r w:rsidR="00B37ADB" w:rsidRPr="00B37ADB">
          <w:rPr>
            <w:noProof/>
            <w:lang w:val="de-DE"/>
          </w:rPr>
          <w:t>2</w:t>
        </w:r>
        <w:r>
          <w:fldChar w:fldCharType="end"/>
        </w:r>
      </w:p>
    </w:sdtContent>
  </w:sdt>
  <w:p w:rsidR="00701DFE" w:rsidRDefault="00701DF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5DC" w:rsidRDefault="00CA45DC" w:rsidP="00C0434F">
      <w:r>
        <w:separator/>
      </w:r>
    </w:p>
  </w:footnote>
  <w:footnote w:type="continuationSeparator" w:id="0">
    <w:p w:rsidR="00CA45DC" w:rsidRDefault="00CA45DC" w:rsidP="00C043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9B5A06"/>
    <w:multiLevelType w:val="hybridMultilevel"/>
    <w:tmpl w:val="92147EDE"/>
    <w:lvl w:ilvl="0" w:tplc="46F22F00">
      <w:start w:val="2"/>
      <w:numFmt w:val="bullet"/>
      <w:lvlText w:val=""/>
      <w:lvlJc w:val="left"/>
      <w:pPr>
        <w:ind w:left="927" w:hanging="360"/>
      </w:pPr>
      <w:rPr>
        <w:rFonts w:ascii="Wingdings" w:eastAsia="Calibri" w:hAnsi="Wingdings"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Sociological Assn_ibu&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ra50ffr1t2sa8evzdjvvwzz5ervewerzzzz&quot;&gt;Endnote-Jun-2016&lt;record-ids&gt;&lt;item&gt;1285&lt;/item&gt;&lt;item&gt;1287&lt;/item&gt;&lt;item&gt;1302&lt;/item&gt;&lt;item&gt;1389&lt;/item&gt;&lt;item&gt;1552&lt;/item&gt;&lt;item&gt;1606&lt;/item&gt;&lt;item&gt;1661&lt;/item&gt;&lt;item&gt;1710&lt;/item&gt;&lt;/record-ids&gt;&lt;/item&gt;&lt;/Libraries&gt;"/>
  </w:docVars>
  <w:rsids>
    <w:rsidRoot w:val="00C0434F"/>
    <w:rsid w:val="000E247F"/>
    <w:rsid w:val="0012541B"/>
    <w:rsid w:val="00162F36"/>
    <w:rsid w:val="001C30FB"/>
    <w:rsid w:val="002710F6"/>
    <w:rsid w:val="00337C6F"/>
    <w:rsid w:val="00510797"/>
    <w:rsid w:val="00524400"/>
    <w:rsid w:val="005C572A"/>
    <w:rsid w:val="00701DFE"/>
    <w:rsid w:val="007F3253"/>
    <w:rsid w:val="008578FE"/>
    <w:rsid w:val="00860077"/>
    <w:rsid w:val="008C6BDF"/>
    <w:rsid w:val="008D1076"/>
    <w:rsid w:val="0093545F"/>
    <w:rsid w:val="009D467F"/>
    <w:rsid w:val="00AE4FDE"/>
    <w:rsid w:val="00B37ADB"/>
    <w:rsid w:val="00BD4EFF"/>
    <w:rsid w:val="00C0434F"/>
    <w:rsid w:val="00C73C8D"/>
    <w:rsid w:val="00CA45DC"/>
    <w:rsid w:val="00D9143D"/>
    <w:rsid w:val="00F67565"/>
    <w:rsid w:val="00FA1CB5"/>
    <w:rsid w:val="00FC7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496368-1E97-4332-8C86-265B155C6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434F"/>
    <w:pPr>
      <w:tabs>
        <w:tab w:val="left" w:pos="567"/>
      </w:tabs>
      <w:spacing w:after="0" w:line="240" w:lineRule="auto"/>
      <w:ind w:firstLine="567"/>
      <w:jc w:val="both"/>
    </w:pPr>
    <w:rPr>
      <w:rFonts w:ascii="Times New Roman" w:eastAsia="Calibri" w:hAnsi="Times New Roman" w:cs="Times New Roman"/>
      <w:sz w:val="24"/>
      <w:lang w:val="en-GB"/>
    </w:rPr>
  </w:style>
  <w:style w:type="paragraph" w:styleId="berschrift4">
    <w:name w:val="heading 4"/>
    <w:aliases w:val="Heading for fig/table"/>
    <w:basedOn w:val="Standard"/>
    <w:next w:val="Standard"/>
    <w:link w:val="berschrift4Zchn"/>
    <w:autoRedefine/>
    <w:uiPriority w:val="99"/>
    <w:qFormat/>
    <w:rsid w:val="00C0434F"/>
    <w:pPr>
      <w:keepNext/>
      <w:keepLines/>
      <w:ind w:firstLine="0"/>
      <w:jc w:val="left"/>
      <w:outlineLvl w:val="3"/>
    </w:pPr>
    <w:rPr>
      <w:rFonts w:eastAsia="MS Gothic"/>
      <w:b/>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aliases w:val="Heading for fig/table Zchn"/>
    <w:basedOn w:val="Absatz-Standardschriftart"/>
    <w:link w:val="berschrift4"/>
    <w:uiPriority w:val="99"/>
    <w:rsid w:val="00C0434F"/>
    <w:rPr>
      <w:rFonts w:ascii="Times New Roman" w:eastAsia="MS Gothic" w:hAnsi="Times New Roman" w:cs="Times New Roman"/>
      <w:b/>
      <w:bCs/>
      <w:iCs/>
      <w:sz w:val="24"/>
      <w:lang w:val="en-GB"/>
    </w:rPr>
  </w:style>
  <w:style w:type="paragraph" w:styleId="Funotentext">
    <w:name w:val="footnote text"/>
    <w:basedOn w:val="Standard"/>
    <w:link w:val="FunotentextZchn"/>
    <w:uiPriority w:val="99"/>
    <w:semiHidden/>
    <w:rsid w:val="00C0434F"/>
    <w:rPr>
      <w:sz w:val="20"/>
      <w:szCs w:val="20"/>
    </w:rPr>
  </w:style>
  <w:style w:type="character" w:customStyle="1" w:styleId="FunotentextZchn">
    <w:name w:val="Fußnotentext Zchn"/>
    <w:basedOn w:val="Absatz-Standardschriftart"/>
    <w:link w:val="Funotentext"/>
    <w:uiPriority w:val="99"/>
    <w:semiHidden/>
    <w:rsid w:val="00C0434F"/>
    <w:rPr>
      <w:rFonts w:ascii="Times New Roman" w:eastAsia="Calibri" w:hAnsi="Times New Roman" w:cs="Times New Roman"/>
      <w:sz w:val="20"/>
      <w:szCs w:val="20"/>
      <w:lang w:val="en-GB"/>
    </w:rPr>
  </w:style>
  <w:style w:type="character" w:styleId="Funotenzeichen">
    <w:name w:val="footnote reference"/>
    <w:basedOn w:val="Absatz-Standardschriftart"/>
    <w:uiPriority w:val="99"/>
    <w:semiHidden/>
    <w:rsid w:val="00C0434F"/>
    <w:rPr>
      <w:rFonts w:cs="Times New Roman"/>
      <w:vertAlign w:val="superscript"/>
    </w:rPr>
  </w:style>
  <w:style w:type="paragraph" w:styleId="Untertitel">
    <w:name w:val="Subtitle"/>
    <w:basedOn w:val="Standard"/>
    <w:next w:val="Standard"/>
    <w:link w:val="UntertitelZchn"/>
    <w:qFormat/>
    <w:rsid w:val="00C0434F"/>
    <w:pPr>
      <w:numPr>
        <w:ilvl w:val="1"/>
      </w:numPr>
      <w:ind w:firstLine="567"/>
      <w:jc w:val="left"/>
    </w:pPr>
    <w:rPr>
      <w:rFonts w:eastAsia="MS Gothic"/>
      <w:sz w:val="20"/>
      <w:szCs w:val="20"/>
    </w:rPr>
  </w:style>
  <w:style w:type="character" w:customStyle="1" w:styleId="UntertitelZchn">
    <w:name w:val="Untertitel Zchn"/>
    <w:basedOn w:val="Absatz-Standardschriftart"/>
    <w:link w:val="Untertitel"/>
    <w:rsid w:val="00C0434F"/>
    <w:rPr>
      <w:rFonts w:ascii="Times New Roman" w:eastAsia="MS Gothic" w:hAnsi="Times New Roman" w:cs="Times New Roman"/>
      <w:sz w:val="20"/>
      <w:szCs w:val="20"/>
      <w:lang w:val="en-GB"/>
    </w:rPr>
  </w:style>
  <w:style w:type="character" w:styleId="Kommentarzeichen">
    <w:name w:val="annotation reference"/>
    <w:basedOn w:val="Absatz-Standardschriftart"/>
    <w:uiPriority w:val="99"/>
    <w:semiHidden/>
    <w:rsid w:val="005C572A"/>
    <w:rPr>
      <w:rFonts w:cs="Times New Roman"/>
      <w:sz w:val="16"/>
      <w:szCs w:val="16"/>
    </w:rPr>
  </w:style>
  <w:style w:type="paragraph" w:styleId="Kommentartext">
    <w:name w:val="annotation text"/>
    <w:basedOn w:val="Standard"/>
    <w:link w:val="KommentartextZchn"/>
    <w:uiPriority w:val="99"/>
    <w:rsid w:val="005C572A"/>
    <w:rPr>
      <w:sz w:val="20"/>
      <w:szCs w:val="20"/>
    </w:rPr>
  </w:style>
  <w:style w:type="character" w:customStyle="1" w:styleId="KommentartextZchn">
    <w:name w:val="Kommentartext Zchn"/>
    <w:basedOn w:val="Absatz-Standardschriftart"/>
    <w:link w:val="Kommentartext"/>
    <w:uiPriority w:val="99"/>
    <w:rsid w:val="005C572A"/>
    <w:rPr>
      <w:rFonts w:ascii="Times New Roman" w:eastAsia="Calibri" w:hAnsi="Times New Roman" w:cs="Times New Roman"/>
      <w:sz w:val="20"/>
      <w:szCs w:val="20"/>
      <w:lang w:val="en-GB"/>
    </w:rPr>
  </w:style>
  <w:style w:type="character" w:styleId="Hyperlink">
    <w:name w:val="Hyperlink"/>
    <w:basedOn w:val="Absatz-Standardschriftart"/>
    <w:uiPriority w:val="99"/>
    <w:rsid w:val="005C572A"/>
    <w:rPr>
      <w:rFonts w:cs="Times New Roman"/>
      <w:color w:val="0000FF"/>
      <w:u w:val="single"/>
    </w:rPr>
  </w:style>
  <w:style w:type="paragraph" w:styleId="Sprechblasentext">
    <w:name w:val="Balloon Text"/>
    <w:basedOn w:val="Standard"/>
    <w:link w:val="SprechblasentextZchn"/>
    <w:uiPriority w:val="99"/>
    <w:semiHidden/>
    <w:unhideWhenUsed/>
    <w:rsid w:val="005C572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C572A"/>
    <w:rPr>
      <w:rFonts w:ascii="Segoe UI" w:eastAsia="Calibri" w:hAnsi="Segoe UI" w:cs="Segoe UI"/>
      <w:sz w:val="18"/>
      <w:szCs w:val="18"/>
      <w:lang w:val="en-GB"/>
    </w:rPr>
  </w:style>
  <w:style w:type="paragraph" w:customStyle="1" w:styleId="EndNoteBibliographyTitle">
    <w:name w:val="EndNote Bibliography Title"/>
    <w:basedOn w:val="Standard"/>
    <w:link w:val="EndNoteBibliographyTitleZchn"/>
    <w:rsid w:val="005C572A"/>
    <w:pPr>
      <w:jc w:val="center"/>
    </w:pPr>
    <w:rPr>
      <w:noProof/>
      <w:lang w:val="en-US"/>
    </w:rPr>
  </w:style>
  <w:style w:type="character" w:customStyle="1" w:styleId="EndNoteBibliographyTitleZchn">
    <w:name w:val="EndNote Bibliography Title Zchn"/>
    <w:basedOn w:val="Absatz-Standardschriftart"/>
    <w:link w:val="EndNoteBibliographyTitle"/>
    <w:rsid w:val="005C572A"/>
    <w:rPr>
      <w:rFonts w:ascii="Times New Roman" w:eastAsia="Calibri" w:hAnsi="Times New Roman" w:cs="Times New Roman"/>
      <w:noProof/>
      <w:sz w:val="24"/>
    </w:rPr>
  </w:style>
  <w:style w:type="paragraph" w:customStyle="1" w:styleId="EndNoteBibliography">
    <w:name w:val="EndNote Bibliography"/>
    <w:basedOn w:val="Standard"/>
    <w:link w:val="EndNoteBibliographyZchn"/>
    <w:rsid w:val="005C572A"/>
    <w:rPr>
      <w:noProof/>
      <w:lang w:val="en-US"/>
    </w:rPr>
  </w:style>
  <w:style w:type="character" w:customStyle="1" w:styleId="EndNoteBibliographyZchn">
    <w:name w:val="EndNote Bibliography Zchn"/>
    <w:basedOn w:val="Absatz-Standardschriftart"/>
    <w:link w:val="EndNoteBibliography"/>
    <w:rsid w:val="005C572A"/>
    <w:rPr>
      <w:rFonts w:ascii="Times New Roman" w:eastAsia="Calibri" w:hAnsi="Times New Roman" w:cs="Times New Roman"/>
      <w:noProof/>
      <w:sz w:val="24"/>
    </w:rPr>
  </w:style>
  <w:style w:type="paragraph" w:styleId="Kopfzeile">
    <w:name w:val="header"/>
    <w:basedOn w:val="Standard"/>
    <w:link w:val="KopfzeileZchn"/>
    <w:uiPriority w:val="99"/>
    <w:unhideWhenUsed/>
    <w:rsid w:val="00701DFE"/>
    <w:pPr>
      <w:tabs>
        <w:tab w:val="clear" w:pos="567"/>
        <w:tab w:val="center" w:pos="4703"/>
        <w:tab w:val="right" w:pos="9406"/>
      </w:tabs>
    </w:pPr>
  </w:style>
  <w:style w:type="character" w:customStyle="1" w:styleId="KopfzeileZchn">
    <w:name w:val="Kopfzeile Zchn"/>
    <w:basedOn w:val="Absatz-Standardschriftart"/>
    <w:link w:val="Kopfzeile"/>
    <w:uiPriority w:val="99"/>
    <w:rsid w:val="00701DFE"/>
    <w:rPr>
      <w:rFonts w:ascii="Times New Roman" w:eastAsia="Calibri" w:hAnsi="Times New Roman" w:cs="Times New Roman"/>
      <w:sz w:val="24"/>
      <w:lang w:val="en-GB"/>
    </w:rPr>
  </w:style>
  <w:style w:type="paragraph" w:styleId="Fuzeile">
    <w:name w:val="footer"/>
    <w:basedOn w:val="Standard"/>
    <w:link w:val="FuzeileZchn"/>
    <w:uiPriority w:val="99"/>
    <w:unhideWhenUsed/>
    <w:rsid w:val="00701DFE"/>
    <w:pPr>
      <w:tabs>
        <w:tab w:val="clear" w:pos="567"/>
        <w:tab w:val="center" w:pos="4703"/>
        <w:tab w:val="right" w:pos="9406"/>
      </w:tabs>
    </w:pPr>
  </w:style>
  <w:style w:type="character" w:customStyle="1" w:styleId="FuzeileZchn">
    <w:name w:val="Fußzeile Zchn"/>
    <w:basedOn w:val="Absatz-Standardschriftart"/>
    <w:link w:val="Fuzeile"/>
    <w:uiPriority w:val="99"/>
    <w:rsid w:val="00701DFE"/>
    <w:rPr>
      <w:rFonts w:ascii="Times New Roman" w:eastAsia="Calibri" w:hAnsi="Times New Roman" w:cs="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grationsverket.se/download/18.7c00d8e6143101d166d1aab/1451894593595/Inkomna+ans%C3%B6kningar+om+asyl+2015+-+Applications+for+asylum+received+2015.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m.admin.ch/dam/data/sem/publiservice/statistik/asylstatistik/2015/stat-jahr-2015-kommentar-d.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oleObject" Target="file:///E:\A-Refugees\6_PLOS1\Revision\Historical%20perspectiv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A-Refugees\6_PLOS1\Revision\Historical%20perspective.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'Fig. 1'!$B$2</c:f>
              <c:strCache>
                <c:ptCount val="1"/>
                <c:pt idx="0">
                  <c:v>Asylum seekers</c:v>
                </c:pt>
              </c:strCache>
            </c:strRef>
          </c:tx>
          <c:spPr>
            <a:solidFill>
              <a:schemeClr val="bg2">
                <a:lumMod val="50000"/>
              </a:schemeClr>
            </a:solidFill>
            <a:ln>
              <a:noFill/>
            </a:ln>
            <a:effectLst/>
          </c:spPr>
          <c:invertIfNegative val="0"/>
          <c:cat>
            <c:numRef>
              <c:f>'Fig. 1'!$A$3:$A$19</c:f>
              <c:numCache>
                <c:formatCode>General</c:formatCode>
                <c:ptCount val="17"/>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numCache>
            </c:numRef>
          </c:cat>
          <c:val>
            <c:numRef>
              <c:f>'Fig. 1'!$B$3:$B$19</c:f>
              <c:numCache>
                <c:formatCode>General</c:formatCode>
                <c:ptCount val="17"/>
                <c:pt idx="0">
                  <c:v>20129</c:v>
                </c:pt>
                <c:pt idx="1">
                  <c:v>18284</c:v>
                </c:pt>
                <c:pt idx="2">
                  <c:v>30127</c:v>
                </c:pt>
                <c:pt idx="3">
                  <c:v>39354</c:v>
                </c:pt>
                <c:pt idx="4">
                  <c:v>32359</c:v>
                </c:pt>
                <c:pt idx="5">
                  <c:v>24634</c:v>
                </c:pt>
                <c:pt idx="6">
                  <c:v>22461</c:v>
                </c:pt>
                <c:pt idx="7">
                  <c:v>13349</c:v>
                </c:pt>
                <c:pt idx="8">
                  <c:v>11921</c:v>
                </c:pt>
                <c:pt idx="9">
                  <c:v>12841</c:v>
                </c:pt>
                <c:pt idx="10">
                  <c:v>15821</c:v>
                </c:pt>
                <c:pt idx="11">
                  <c:v>11012</c:v>
                </c:pt>
                <c:pt idx="12">
                  <c:v>14416</c:v>
                </c:pt>
                <c:pt idx="13">
                  <c:v>17413</c:v>
                </c:pt>
                <c:pt idx="14">
                  <c:v>17503</c:v>
                </c:pt>
                <c:pt idx="15">
                  <c:v>28064</c:v>
                </c:pt>
                <c:pt idx="16">
                  <c:v>89098</c:v>
                </c:pt>
              </c:numCache>
            </c:numRef>
          </c:val>
          <c:extLst xmlns:c16r2="http://schemas.microsoft.com/office/drawing/2015/06/chart">
            <c:ext xmlns:c16="http://schemas.microsoft.com/office/drawing/2014/chart" uri="{C3380CC4-5D6E-409C-BE32-E72D297353CC}">
              <c16:uniqueId val="{00000000-D64F-422D-91AC-F5D64256D41D}"/>
            </c:ext>
          </c:extLst>
        </c:ser>
        <c:dLbls>
          <c:showLegendKey val="0"/>
          <c:showVal val="0"/>
          <c:showCatName val="0"/>
          <c:showSerName val="0"/>
          <c:showPercent val="0"/>
          <c:showBubbleSize val="0"/>
        </c:dLbls>
        <c:gapWidth val="40"/>
        <c:axId val="343577880"/>
        <c:axId val="343581408"/>
      </c:barChart>
      <c:catAx>
        <c:axId val="34357788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3581408"/>
        <c:crosses val="autoZero"/>
        <c:auto val="1"/>
        <c:lblAlgn val="ctr"/>
        <c:lblOffset val="100"/>
        <c:noMultiLvlLbl val="0"/>
      </c:catAx>
      <c:valAx>
        <c:axId val="343581408"/>
        <c:scaling>
          <c:orientation val="minMax"/>
        </c:scaling>
        <c:delete val="0"/>
        <c:axPos val="l"/>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3577880"/>
        <c:crosses val="autoZero"/>
        <c:crossBetween val="between"/>
        <c:majorUnit val="20000"/>
      </c:valAx>
      <c:spPr>
        <a:noFill/>
        <a:ln>
          <a:noFill/>
        </a:ln>
        <a:effectLst/>
      </c:spPr>
    </c:plotArea>
    <c:plotVisOnly val="1"/>
    <c:dispBlanksAs val="gap"/>
    <c:showDLblsOverMax val="0"/>
  </c:chart>
  <c:spPr>
    <a:solidFill>
      <a:schemeClr val="bg1"/>
    </a:solidFill>
    <a:ln w="6350"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stacked"/>
        <c:varyColors val="0"/>
        <c:ser>
          <c:idx val="0"/>
          <c:order val="0"/>
          <c:tx>
            <c:strRef>
              <c:f>'Fig. S2'!$B$1</c:f>
              <c:strCache>
                <c:ptCount val="1"/>
                <c:pt idx="0">
                  <c:v>Syria</c:v>
                </c:pt>
              </c:strCache>
            </c:strRef>
          </c:tx>
          <c:spPr>
            <a:solidFill>
              <a:srgbClr val="FFC000"/>
            </a:solidFill>
            <a:ln>
              <a:noFill/>
            </a:ln>
            <a:effectLst/>
          </c:spPr>
          <c:invertIfNegative val="0"/>
          <c:cat>
            <c:strRef>
              <c:f>'Fig. S2'!$A$2:$A$29</c:f>
              <c:strCache>
                <c:ptCount val="28"/>
                <c:pt idx="0">
                  <c:v>Jan 14</c:v>
                </c:pt>
                <c:pt idx="1">
                  <c:v>Feb 14</c:v>
                </c:pt>
                <c:pt idx="2">
                  <c:v>Mar 14</c:v>
                </c:pt>
                <c:pt idx="3">
                  <c:v>Apr 14</c:v>
                </c:pt>
                <c:pt idx="4">
                  <c:v>May 14</c:v>
                </c:pt>
                <c:pt idx="5">
                  <c:v>Jun 14</c:v>
                </c:pt>
                <c:pt idx="6">
                  <c:v>Jul 14</c:v>
                </c:pt>
                <c:pt idx="7">
                  <c:v>Aug 14</c:v>
                </c:pt>
                <c:pt idx="8">
                  <c:v>Sep 14</c:v>
                </c:pt>
                <c:pt idx="9">
                  <c:v>Oct 14</c:v>
                </c:pt>
                <c:pt idx="10">
                  <c:v>Nov 14</c:v>
                </c:pt>
                <c:pt idx="11">
                  <c:v>Dec 14</c:v>
                </c:pt>
                <c:pt idx="12">
                  <c:v>Jan 15</c:v>
                </c:pt>
                <c:pt idx="13">
                  <c:v>Feb 15</c:v>
                </c:pt>
                <c:pt idx="14">
                  <c:v>Mar 15</c:v>
                </c:pt>
                <c:pt idx="15">
                  <c:v>Apr 15</c:v>
                </c:pt>
                <c:pt idx="16">
                  <c:v>May 15</c:v>
                </c:pt>
                <c:pt idx="17">
                  <c:v>Jun 15</c:v>
                </c:pt>
                <c:pt idx="18">
                  <c:v>Jul 15</c:v>
                </c:pt>
                <c:pt idx="19">
                  <c:v>Aug 15</c:v>
                </c:pt>
                <c:pt idx="20">
                  <c:v>Sep 15</c:v>
                </c:pt>
                <c:pt idx="21">
                  <c:v>Oct 15</c:v>
                </c:pt>
                <c:pt idx="22">
                  <c:v>Nov 15</c:v>
                </c:pt>
                <c:pt idx="23">
                  <c:v>Dec 15</c:v>
                </c:pt>
                <c:pt idx="24">
                  <c:v>Jan 16</c:v>
                </c:pt>
                <c:pt idx="25">
                  <c:v>Feb 16</c:v>
                </c:pt>
                <c:pt idx="26">
                  <c:v>Mar 16</c:v>
                </c:pt>
                <c:pt idx="27">
                  <c:v>Apr 16</c:v>
                </c:pt>
              </c:strCache>
            </c:strRef>
          </c:cat>
          <c:val>
            <c:numRef>
              <c:f>'Fig. S2'!$B$2:$B$29</c:f>
              <c:numCache>
                <c:formatCode>General</c:formatCode>
                <c:ptCount val="28"/>
                <c:pt idx="0">
                  <c:v>337</c:v>
                </c:pt>
                <c:pt idx="1">
                  <c:v>252</c:v>
                </c:pt>
                <c:pt idx="2">
                  <c:v>212</c:v>
                </c:pt>
                <c:pt idx="3">
                  <c:v>283</c:v>
                </c:pt>
                <c:pt idx="4">
                  <c:v>361</c:v>
                </c:pt>
                <c:pt idx="5">
                  <c:v>406</c:v>
                </c:pt>
                <c:pt idx="6">
                  <c:v>590</c:v>
                </c:pt>
                <c:pt idx="7">
                  <c:v>683</c:v>
                </c:pt>
                <c:pt idx="8">
                  <c:v>1138</c:v>
                </c:pt>
                <c:pt idx="9">
                  <c:v>1002</c:v>
                </c:pt>
                <c:pt idx="10">
                  <c:v>1291</c:v>
                </c:pt>
                <c:pt idx="11">
                  <c:v>1199</c:v>
                </c:pt>
                <c:pt idx="12">
                  <c:v>883</c:v>
                </c:pt>
                <c:pt idx="13">
                  <c:v>667</c:v>
                </c:pt>
                <c:pt idx="14">
                  <c:v>835</c:v>
                </c:pt>
                <c:pt idx="15">
                  <c:v>1014</c:v>
                </c:pt>
                <c:pt idx="16">
                  <c:v>1824</c:v>
                </c:pt>
                <c:pt idx="17">
                  <c:v>2426</c:v>
                </c:pt>
                <c:pt idx="18">
                  <c:v>2329</c:v>
                </c:pt>
                <c:pt idx="19">
                  <c:v>2686</c:v>
                </c:pt>
                <c:pt idx="20">
                  <c:v>3693</c:v>
                </c:pt>
                <c:pt idx="21">
                  <c:v>3784</c:v>
                </c:pt>
                <c:pt idx="22">
                  <c:v>2864</c:v>
                </c:pt>
                <c:pt idx="23">
                  <c:v>1542</c:v>
                </c:pt>
                <c:pt idx="24">
                  <c:v>1276</c:v>
                </c:pt>
                <c:pt idx="25">
                  <c:v>1208</c:v>
                </c:pt>
                <c:pt idx="26">
                  <c:v>708</c:v>
                </c:pt>
                <c:pt idx="27">
                  <c:v>734</c:v>
                </c:pt>
              </c:numCache>
            </c:numRef>
          </c:val>
          <c:extLst xmlns:c16r2="http://schemas.microsoft.com/office/drawing/2015/06/chart">
            <c:ext xmlns:c16="http://schemas.microsoft.com/office/drawing/2014/chart" uri="{C3380CC4-5D6E-409C-BE32-E72D297353CC}">
              <c16:uniqueId val="{00000000-385E-4756-AB16-8CF451DF2B78}"/>
            </c:ext>
          </c:extLst>
        </c:ser>
        <c:ser>
          <c:idx val="1"/>
          <c:order val="1"/>
          <c:tx>
            <c:strRef>
              <c:f>'Fig. S2'!$C$1</c:f>
              <c:strCache>
                <c:ptCount val="1"/>
                <c:pt idx="0">
                  <c:v>Iraq</c:v>
                </c:pt>
              </c:strCache>
            </c:strRef>
          </c:tx>
          <c:spPr>
            <a:solidFill>
              <a:schemeClr val="accent1">
                <a:lumMod val="75000"/>
              </a:schemeClr>
            </a:solidFill>
            <a:ln>
              <a:noFill/>
            </a:ln>
            <a:effectLst/>
          </c:spPr>
          <c:invertIfNegative val="0"/>
          <c:cat>
            <c:strRef>
              <c:f>'Fig. S2'!$A$2:$A$29</c:f>
              <c:strCache>
                <c:ptCount val="28"/>
                <c:pt idx="0">
                  <c:v>Jan 14</c:v>
                </c:pt>
                <c:pt idx="1">
                  <c:v>Feb 14</c:v>
                </c:pt>
                <c:pt idx="2">
                  <c:v>Mar 14</c:v>
                </c:pt>
                <c:pt idx="3">
                  <c:v>Apr 14</c:v>
                </c:pt>
                <c:pt idx="4">
                  <c:v>May 14</c:v>
                </c:pt>
                <c:pt idx="5">
                  <c:v>Jun 14</c:v>
                </c:pt>
                <c:pt idx="6">
                  <c:v>Jul 14</c:v>
                </c:pt>
                <c:pt idx="7">
                  <c:v>Aug 14</c:v>
                </c:pt>
                <c:pt idx="8">
                  <c:v>Sep 14</c:v>
                </c:pt>
                <c:pt idx="9">
                  <c:v>Oct 14</c:v>
                </c:pt>
                <c:pt idx="10">
                  <c:v>Nov 14</c:v>
                </c:pt>
                <c:pt idx="11">
                  <c:v>Dec 14</c:v>
                </c:pt>
                <c:pt idx="12">
                  <c:v>Jan 15</c:v>
                </c:pt>
                <c:pt idx="13">
                  <c:v>Feb 15</c:v>
                </c:pt>
                <c:pt idx="14">
                  <c:v>Mar 15</c:v>
                </c:pt>
                <c:pt idx="15">
                  <c:v>Apr 15</c:v>
                </c:pt>
                <c:pt idx="16">
                  <c:v>May 15</c:v>
                </c:pt>
                <c:pt idx="17">
                  <c:v>Jun 15</c:v>
                </c:pt>
                <c:pt idx="18">
                  <c:v>Jul 15</c:v>
                </c:pt>
                <c:pt idx="19">
                  <c:v>Aug 15</c:v>
                </c:pt>
                <c:pt idx="20">
                  <c:v>Sep 15</c:v>
                </c:pt>
                <c:pt idx="21">
                  <c:v>Oct 15</c:v>
                </c:pt>
                <c:pt idx="22">
                  <c:v>Nov 15</c:v>
                </c:pt>
                <c:pt idx="23">
                  <c:v>Dec 15</c:v>
                </c:pt>
                <c:pt idx="24">
                  <c:v>Jan 16</c:v>
                </c:pt>
                <c:pt idx="25">
                  <c:v>Feb 16</c:v>
                </c:pt>
                <c:pt idx="26">
                  <c:v>Mar 16</c:v>
                </c:pt>
                <c:pt idx="27">
                  <c:v>Apr 16</c:v>
                </c:pt>
              </c:strCache>
            </c:strRef>
          </c:cat>
          <c:val>
            <c:numRef>
              <c:f>'Fig. S2'!$C$2:$C$29</c:f>
              <c:numCache>
                <c:formatCode>General</c:formatCode>
                <c:ptCount val="28"/>
                <c:pt idx="0">
                  <c:v>42</c:v>
                </c:pt>
                <c:pt idx="1">
                  <c:v>45</c:v>
                </c:pt>
                <c:pt idx="2">
                  <c:v>43</c:v>
                </c:pt>
                <c:pt idx="3">
                  <c:v>40</c:v>
                </c:pt>
                <c:pt idx="4">
                  <c:v>45</c:v>
                </c:pt>
                <c:pt idx="5">
                  <c:v>47</c:v>
                </c:pt>
                <c:pt idx="6">
                  <c:v>67</c:v>
                </c:pt>
                <c:pt idx="7">
                  <c:v>92</c:v>
                </c:pt>
                <c:pt idx="8">
                  <c:v>125</c:v>
                </c:pt>
                <c:pt idx="9">
                  <c:v>137</c:v>
                </c:pt>
                <c:pt idx="10">
                  <c:v>207</c:v>
                </c:pt>
                <c:pt idx="11">
                  <c:v>217</c:v>
                </c:pt>
                <c:pt idx="12">
                  <c:v>291</c:v>
                </c:pt>
                <c:pt idx="13">
                  <c:v>204</c:v>
                </c:pt>
                <c:pt idx="14">
                  <c:v>311</c:v>
                </c:pt>
                <c:pt idx="15">
                  <c:v>606</c:v>
                </c:pt>
                <c:pt idx="16">
                  <c:v>1139</c:v>
                </c:pt>
                <c:pt idx="17">
                  <c:v>1270</c:v>
                </c:pt>
                <c:pt idx="18">
                  <c:v>1297</c:v>
                </c:pt>
                <c:pt idx="19">
                  <c:v>1280</c:v>
                </c:pt>
                <c:pt idx="20">
                  <c:v>2764</c:v>
                </c:pt>
                <c:pt idx="21">
                  <c:v>2181</c:v>
                </c:pt>
                <c:pt idx="22">
                  <c:v>1499</c:v>
                </c:pt>
                <c:pt idx="23">
                  <c:v>791</c:v>
                </c:pt>
                <c:pt idx="24">
                  <c:v>524</c:v>
                </c:pt>
                <c:pt idx="25">
                  <c:v>519</c:v>
                </c:pt>
                <c:pt idx="26">
                  <c:v>136</c:v>
                </c:pt>
                <c:pt idx="27">
                  <c:v>310</c:v>
                </c:pt>
              </c:numCache>
            </c:numRef>
          </c:val>
          <c:extLst xmlns:c16r2="http://schemas.microsoft.com/office/drawing/2015/06/chart">
            <c:ext xmlns:c16="http://schemas.microsoft.com/office/drawing/2014/chart" uri="{C3380CC4-5D6E-409C-BE32-E72D297353CC}">
              <c16:uniqueId val="{00000001-385E-4756-AB16-8CF451DF2B78}"/>
            </c:ext>
          </c:extLst>
        </c:ser>
        <c:ser>
          <c:idx val="2"/>
          <c:order val="2"/>
          <c:tx>
            <c:strRef>
              <c:f>'Fig. S2'!$D$1</c:f>
              <c:strCache>
                <c:ptCount val="1"/>
                <c:pt idx="0">
                  <c:v>Afghanistan</c:v>
                </c:pt>
              </c:strCache>
            </c:strRef>
          </c:tx>
          <c:spPr>
            <a:solidFill>
              <a:schemeClr val="accent2">
                <a:lumMod val="75000"/>
              </a:schemeClr>
            </a:solidFill>
            <a:ln>
              <a:noFill/>
            </a:ln>
            <a:effectLst/>
          </c:spPr>
          <c:invertIfNegative val="0"/>
          <c:cat>
            <c:strRef>
              <c:f>'Fig. S2'!$A$2:$A$29</c:f>
              <c:strCache>
                <c:ptCount val="28"/>
                <c:pt idx="0">
                  <c:v>Jan 14</c:v>
                </c:pt>
                <c:pt idx="1">
                  <c:v>Feb 14</c:v>
                </c:pt>
                <c:pt idx="2">
                  <c:v>Mar 14</c:v>
                </c:pt>
                <c:pt idx="3">
                  <c:v>Apr 14</c:v>
                </c:pt>
                <c:pt idx="4">
                  <c:v>May 14</c:v>
                </c:pt>
                <c:pt idx="5">
                  <c:v>Jun 14</c:v>
                </c:pt>
                <c:pt idx="6">
                  <c:v>Jul 14</c:v>
                </c:pt>
                <c:pt idx="7">
                  <c:v>Aug 14</c:v>
                </c:pt>
                <c:pt idx="8">
                  <c:v>Sep 14</c:v>
                </c:pt>
                <c:pt idx="9">
                  <c:v>Oct 14</c:v>
                </c:pt>
                <c:pt idx="10">
                  <c:v>Nov 14</c:v>
                </c:pt>
                <c:pt idx="11">
                  <c:v>Dec 14</c:v>
                </c:pt>
                <c:pt idx="12">
                  <c:v>Jan 15</c:v>
                </c:pt>
                <c:pt idx="13">
                  <c:v>Feb 15</c:v>
                </c:pt>
                <c:pt idx="14">
                  <c:v>Mar 15</c:v>
                </c:pt>
                <c:pt idx="15">
                  <c:v>Apr 15</c:v>
                </c:pt>
                <c:pt idx="16">
                  <c:v>May 15</c:v>
                </c:pt>
                <c:pt idx="17">
                  <c:v>Jun 15</c:v>
                </c:pt>
                <c:pt idx="18">
                  <c:v>Jul 15</c:v>
                </c:pt>
                <c:pt idx="19">
                  <c:v>Aug 15</c:v>
                </c:pt>
                <c:pt idx="20">
                  <c:v>Sep 15</c:v>
                </c:pt>
                <c:pt idx="21">
                  <c:v>Oct 15</c:v>
                </c:pt>
                <c:pt idx="22">
                  <c:v>Nov 15</c:v>
                </c:pt>
                <c:pt idx="23">
                  <c:v>Dec 15</c:v>
                </c:pt>
                <c:pt idx="24">
                  <c:v>Jan 16</c:v>
                </c:pt>
                <c:pt idx="25">
                  <c:v>Feb 16</c:v>
                </c:pt>
                <c:pt idx="26">
                  <c:v>Mar 16</c:v>
                </c:pt>
                <c:pt idx="27">
                  <c:v>Apr 16</c:v>
                </c:pt>
              </c:strCache>
            </c:strRef>
          </c:cat>
          <c:val>
            <c:numRef>
              <c:f>'Fig. S2'!$D$2:$D$29</c:f>
              <c:numCache>
                <c:formatCode>General</c:formatCode>
                <c:ptCount val="28"/>
                <c:pt idx="0">
                  <c:v>274</c:v>
                </c:pt>
                <c:pt idx="1">
                  <c:v>173</c:v>
                </c:pt>
                <c:pt idx="2">
                  <c:v>233</c:v>
                </c:pt>
                <c:pt idx="3">
                  <c:v>225</c:v>
                </c:pt>
                <c:pt idx="4">
                  <c:v>237</c:v>
                </c:pt>
                <c:pt idx="5">
                  <c:v>346</c:v>
                </c:pt>
                <c:pt idx="6">
                  <c:v>393</c:v>
                </c:pt>
                <c:pt idx="7">
                  <c:v>512</c:v>
                </c:pt>
                <c:pt idx="8">
                  <c:v>620</c:v>
                </c:pt>
                <c:pt idx="9">
                  <c:v>618</c:v>
                </c:pt>
                <c:pt idx="10">
                  <c:v>667</c:v>
                </c:pt>
                <c:pt idx="11">
                  <c:v>772</c:v>
                </c:pt>
                <c:pt idx="12">
                  <c:v>677</c:v>
                </c:pt>
                <c:pt idx="13">
                  <c:v>435</c:v>
                </c:pt>
                <c:pt idx="14">
                  <c:v>584</c:v>
                </c:pt>
                <c:pt idx="15">
                  <c:v>770</c:v>
                </c:pt>
                <c:pt idx="16">
                  <c:v>1502</c:v>
                </c:pt>
                <c:pt idx="17">
                  <c:v>1838</c:v>
                </c:pt>
                <c:pt idx="18">
                  <c:v>276</c:v>
                </c:pt>
                <c:pt idx="19">
                  <c:v>1889</c:v>
                </c:pt>
                <c:pt idx="20">
                  <c:v>2315</c:v>
                </c:pt>
                <c:pt idx="21">
                  <c:v>4007</c:v>
                </c:pt>
                <c:pt idx="22">
                  <c:v>5588</c:v>
                </c:pt>
                <c:pt idx="23">
                  <c:v>3172</c:v>
                </c:pt>
                <c:pt idx="24">
                  <c:v>2048</c:v>
                </c:pt>
                <c:pt idx="25">
                  <c:v>1558</c:v>
                </c:pt>
                <c:pt idx="26">
                  <c:v>523</c:v>
                </c:pt>
                <c:pt idx="27">
                  <c:v>1105</c:v>
                </c:pt>
              </c:numCache>
            </c:numRef>
          </c:val>
          <c:extLst xmlns:c16r2="http://schemas.microsoft.com/office/drawing/2015/06/chart">
            <c:ext xmlns:c16="http://schemas.microsoft.com/office/drawing/2014/chart" uri="{C3380CC4-5D6E-409C-BE32-E72D297353CC}">
              <c16:uniqueId val="{00000002-385E-4756-AB16-8CF451DF2B78}"/>
            </c:ext>
          </c:extLst>
        </c:ser>
        <c:ser>
          <c:idx val="3"/>
          <c:order val="3"/>
          <c:tx>
            <c:strRef>
              <c:f>'Fig. S2'!$E$1</c:f>
              <c:strCache>
                <c:ptCount val="1"/>
                <c:pt idx="0">
                  <c:v>Others</c:v>
                </c:pt>
              </c:strCache>
            </c:strRef>
          </c:tx>
          <c:spPr>
            <a:solidFill>
              <a:schemeClr val="bg1">
                <a:lumMod val="50000"/>
              </a:schemeClr>
            </a:solidFill>
            <a:ln>
              <a:noFill/>
            </a:ln>
            <a:effectLst/>
          </c:spPr>
          <c:invertIfNegative val="0"/>
          <c:cat>
            <c:strRef>
              <c:f>'Fig. S2'!$A$2:$A$29</c:f>
              <c:strCache>
                <c:ptCount val="28"/>
                <c:pt idx="0">
                  <c:v>Jan 14</c:v>
                </c:pt>
                <c:pt idx="1">
                  <c:v>Feb 14</c:v>
                </c:pt>
                <c:pt idx="2">
                  <c:v>Mar 14</c:v>
                </c:pt>
                <c:pt idx="3">
                  <c:v>Apr 14</c:v>
                </c:pt>
                <c:pt idx="4">
                  <c:v>May 14</c:v>
                </c:pt>
                <c:pt idx="5">
                  <c:v>Jun 14</c:v>
                </c:pt>
                <c:pt idx="6">
                  <c:v>Jul 14</c:v>
                </c:pt>
                <c:pt idx="7">
                  <c:v>Aug 14</c:v>
                </c:pt>
                <c:pt idx="8">
                  <c:v>Sep 14</c:v>
                </c:pt>
                <c:pt idx="9">
                  <c:v>Oct 14</c:v>
                </c:pt>
                <c:pt idx="10">
                  <c:v>Nov 14</c:v>
                </c:pt>
                <c:pt idx="11">
                  <c:v>Dec 14</c:v>
                </c:pt>
                <c:pt idx="12">
                  <c:v>Jan 15</c:v>
                </c:pt>
                <c:pt idx="13">
                  <c:v>Feb 15</c:v>
                </c:pt>
                <c:pt idx="14">
                  <c:v>Mar 15</c:v>
                </c:pt>
                <c:pt idx="15">
                  <c:v>Apr 15</c:v>
                </c:pt>
                <c:pt idx="16">
                  <c:v>May 15</c:v>
                </c:pt>
                <c:pt idx="17">
                  <c:v>Jun 15</c:v>
                </c:pt>
                <c:pt idx="18">
                  <c:v>Jul 15</c:v>
                </c:pt>
                <c:pt idx="19">
                  <c:v>Aug 15</c:v>
                </c:pt>
                <c:pt idx="20">
                  <c:v>Sep 15</c:v>
                </c:pt>
                <c:pt idx="21">
                  <c:v>Oct 15</c:v>
                </c:pt>
                <c:pt idx="22">
                  <c:v>Nov 15</c:v>
                </c:pt>
                <c:pt idx="23">
                  <c:v>Dec 15</c:v>
                </c:pt>
                <c:pt idx="24">
                  <c:v>Jan 16</c:v>
                </c:pt>
                <c:pt idx="25">
                  <c:v>Feb 16</c:v>
                </c:pt>
                <c:pt idx="26">
                  <c:v>Mar 16</c:v>
                </c:pt>
                <c:pt idx="27">
                  <c:v>Apr 16</c:v>
                </c:pt>
              </c:strCache>
            </c:strRef>
          </c:cat>
          <c:val>
            <c:numRef>
              <c:f>'Fig. S2'!$E$2:$E$29</c:f>
              <c:numCache>
                <c:formatCode>General</c:formatCode>
                <c:ptCount val="28"/>
                <c:pt idx="0">
                  <c:v>866</c:v>
                </c:pt>
                <c:pt idx="1">
                  <c:v>767</c:v>
                </c:pt>
                <c:pt idx="2">
                  <c:v>844</c:v>
                </c:pt>
                <c:pt idx="3">
                  <c:v>862</c:v>
                </c:pt>
                <c:pt idx="4">
                  <c:v>1138</c:v>
                </c:pt>
                <c:pt idx="5">
                  <c:v>968</c:v>
                </c:pt>
                <c:pt idx="6">
                  <c:v>1168</c:v>
                </c:pt>
                <c:pt idx="7">
                  <c:v>1165</c:v>
                </c:pt>
                <c:pt idx="8">
                  <c:v>1413</c:v>
                </c:pt>
                <c:pt idx="9">
                  <c:v>1400</c:v>
                </c:pt>
                <c:pt idx="10">
                  <c:v>1522</c:v>
                </c:pt>
                <c:pt idx="11">
                  <c:v>1983</c:v>
                </c:pt>
                <c:pt idx="12">
                  <c:v>2277</c:v>
                </c:pt>
                <c:pt idx="13">
                  <c:v>1982</c:v>
                </c:pt>
                <c:pt idx="14">
                  <c:v>1213</c:v>
                </c:pt>
                <c:pt idx="15">
                  <c:v>1647</c:v>
                </c:pt>
                <c:pt idx="16">
                  <c:v>1941</c:v>
                </c:pt>
                <c:pt idx="17">
                  <c:v>2162</c:v>
                </c:pt>
                <c:pt idx="18">
                  <c:v>4908</c:v>
                </c:pt>
                <c:pt idx="19">
                  <c:v>2694</c:v>
                </c:pt>
                <c:pt idx="20">
                  <c:v>1900</c:v>
                </c:pt>
                <c:pt idx="21">
                  <c:v>2336</c:v>
                </c:pt>
                <c:pt idx="22">
                  <c:v>2250</c:v>
                </c:pt>
                <c:pt idx="23">
                  <c:v>1797</c:v>
                </c:pt>
                <c:pt idx="24">
                  <c:v>2103</c:v>
                </c:pt>
                <c:pt idx="25">
                  <c:v>1860</c:v>
                </c:pt>
                <c:pt idx="26">
                  <c:v>1982</c:v>
                </c:pt>
                <c:pt idx="27">
                  <c:v>2003</c:v>
                </c:pt>
              </c:numCache>
            </c:numRef>
          </c:val>
          <c:extLst xmlns:c16r2="http://schemas.microsoft.com/office/drawing/2015/06/chart">
            <c:ext xmlns:c16="http://schemas.microsoft.com/office/drawing/2014/chart" uri="{C3380CC4-5D6E-409C-BE32-E72D297353CC}">
              <c16:uniqueId val="{00000003-385E-4756-AB16-8CF451DF2B78}"/>
            </c:ext>
          </c:extLst>
        </c:ser>
        <c:dLbls>
          <c:showLegendKey val="0"/>
          <c:showVal val="0"/>
          <c:showCatName val="0"/>
          <c:showSerName val="0"/>
          <c:showPercent val="0"/>
          <c:showBubbleSize val="0"/>
        </c:dLbls>
        <c:gapWidth val="50"/>
        <c:overlap val="100"/>
        <c:axId val="343580624"/>
        <c:axId val="343580232"/>
      </c:barChart>
      <c:catAx>
        <c:axId val="343580624"/>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3580232"/>
        <c:crosses val="autoZero"/>
        <c:auto val="1"/>
        <c:lblAlgn val="ctr"/>
        <c:lblOffset val="100"/>
        <c:noMultiLvlLbl val="1"/>
      </c:catAx>
      <c:valAx>
        <c:axId val="343580232"/>
        <c:scaling>
          <c:orientation val="minMax"/>
        </c:scaling>
        <c:delete val="0"/>
        <c:axPos val="l"/>
        <c:numFmt formatCode="#,##0" sourceLinked="0"/>
        <c:majorTickMark val="out"/>
        <c:minorTickMark val="none"/>
        <c:tickLblPos val="nextTo"/>
        <c:spPr>
          <a:noFill/>
          <a:ln w="9525">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3580624"/>
        <c:crosses val="autoZero"/>
        <c:crossBetween val="between"/>
        <c:majorUnit val="25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6350"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'Fig. S3'!$M$19</c:f>
              <c:strCache>
                <c:ptCount val="1"/>
                <c:pt idx="0">
                  <c:v>AT</c:v>
                </c:pt>
              </c:strCache>
            </c:strRef>
          </c:tx>
          <c:spPr>
            <a:solidFill>
              <a:srgbClr val="FF0000"/>
            </a:solidFill>
            <a:ln>
              <a:noFill/>
            </a:ln>
            <a:effectLst/>
          </c:spPr>
          <c:invertIfNegative val="0"/>
          <c:cat>
            <c:strRef>
              <c:f>'Fig. S3'!$L$20:$L$38</c:f>
              <c:strCache>
                <c:ptCount val="19"/>
                <c:pt idx="0">
                  <c:v>Afghanistan</c:v>
                </c:pt>
                <c:pt idx="1">
                  <c:v>Syria</c:v>
                </c:pt>
                <c:pt idx="2">
                  <c:v>Iraq</c:v>
                </c:pt>
                <c:pt idx="3">
                  <c:v>Albania</c:v>
                </c:pt>
                <c:pt idx="4">
                  <c:v>Algeria</c:v>
                </c:pt>
                <c:pt idx="5">
                  <c:v>Eritrea</c:v>
                </c:pt>
                <c:pt idx="6">
                  <c:v>Ethiopia</c:v>
                </c:pt>
                <c:pt idx="7">
                  <c:v>Gambia</c:v>
                </c:pt>
                <c:pt idx="8">
                  <c:v>Iran</c:v>
                </c:pt>
                <c:pt idx="9">
                  <c:v>Kosovo</c:v>
                </c:pt>
                <c:pt idx="10">
                  <c:v>Macedonia</c:v>
                </c:pt>
                <c:pt idx="11">
                  <c:v>Nigeria</c:v>
                </c:pt>
                <c:pt idx="12">
                  <c:v>Pakistan</c:v>
                </c:pt>
                <c:pt idx="13">
                  <c:v>Russian Federation</c:v>
                </c:pt>
                <c:pt idx="14">
                  <c:v>Serbia</c:v>
                </c:pt>
                <c:pt idx="15">
                  <c:v>Somalia</c:v>
                </c:pt>
                <c:pt idx="16">
                  <c:v>Sri Lanka</c:v>
                </c:pt>
                <c:pt idx="17">
                  <c:v>Stateless</c:v>
                </c:pt>
                <c:pt idx="18">
                  <c:v>Others</c:v>
                </c:pt>
              </c:strCache>
            </c:strRef>
          </c:cat>
          <c:val>
            <c:numRef>
              <c:f>'Fig. S3'!$M$20:$M$38</c:f>
              <c:numCache>
                <c:formatCode>0.0%</c:formatCode>
                <c:ptCount val="19"/>
                <c:pt idx="0">
                  <c:v>0.28937061353860088</c:v>
                </c:pt>
                <c:pt idx="1">
                  <c:v>0.27786959474756623</c:v>
                </c:pt>
                <c:pt idx="2">
                  <c:v>0.15432420194702287</c:v>
                </c:pt>
                <c:pt idx="3">
                  <c:v>1.1319900384876613E-5</c:v>
                </c:pt>
                <c:pt idx="4">
                  <c:v>1.0697305863708399E-2</c:v>
                </c:pt>
                <c:pt idx="5">
                  <c:v>1.1319900384876613E-5</c:v>
                </c:pt>
                <c:pt idx="6">
                  <c:v>1.1319900384876613E-5</c:v>
                </c:pt>
                <c:pt idx="7">
                  <c:v>1.1319900384876613E-5</c:v>
                </c:pt>
                <c:pt idx="8">
                  <c:v>3.8781978718587275E-2</c:v>
                </c:pt>
                <c:pt idx="9">
                  <c:v>2.8152592257188136E-2</c:v>
                </c:pt>
                <c:pt idx="10">
                  <c:v>1.1319900384876613E-5</c:v>
                </c:pt>
                <c:pt idx="11">
                  <c:v>1.5678062033054108E-2</c:v>
                </c:pt>
                <c:pt idx="12">
                  <c:v>3.4197419062712245E-2</c:v>
                </c:pt>
                <c:pt idx="13">
                  <c:v>1.922119085352049E-2</c:v>
                </c:pt>
                <c:pt idx="14">
                  <c:v>1.1319900384876613E-5</c:v>
                </c:pt>
                <c:pt idx="15">
                  <c:v>2.346615349784922E-2</c:v>
                </c:pt>
                <c:pt idx="16">
                  <c:v>1.1319900384876613E-5</c:v>
                </c:pt>
                <c:pt idx="17">
                  <c:v>2.5299977360199229E-2</c:v>
                </c:pt>
                <c:pt idx="18">
                  <c:v>8.2861670817296812E-2</c:v>
                </c:pt>
              </c:numCache>
            </c:numRef>
          </c:val>
        </c:ser>
        <c:ser>
          <c:idx val="1"/>
          <c:order val="1"/>
          <c:tx>
            <c:strRef>
              <c:f>'Fig. S3'!$N$19</c:f>
              <c:strCache>
                <c:ptCount val="1"/>
                <c:pt idx="0">
                  <c:v>DE</c:v>
                </c:pt>
              </c:strCache>
            </c:strRef>
          </c:tx>
          <c:spPr>
            <a:solidFill>
              <a:srgbClr val="00B0F0"/>
            </a:solidFill>
            <a:ln>
              <a:noFill/>
            </a:ln>
            <a:effectLst/>
          </c:spPr>
          <c:invertIfNegative val="1"/>
          <c:cat>
            <c:strRef>
              <c:f>'Fig. S3'!$L$20:$L$38</c:f>
              <c:strCache>
                <c:ptCount val="19"/>
                <c:pt idx="0">
                  <c:v>Afghanistan</c:v>
                </c:pt>
                <c:pt idx="1">
                  <c:v>Syria</c:v>
                </c:pt>
                <c:pt idx="2">
                  <c:v>Iraq</c:v>
                </c:pt>
                <c:pt idx="3">
                  <c:v>Albania</c:v>
                </c:pt>
                <c:pt idx="4">
                  <c:v>Algeria</c:v>
                </c:pt>
                <c:pt idx="5">
                  <c:v>Eritrea</c:v>
                </c:pt>
                <c:pt idx="6">
                  <c:v>Ethiopia</c:v>
                </c:pt>
                <c:pt idx="7">
                  <c:v>Gambia</c:v>
                </c:pt>
                <c:pt idx="8">
                  <c:v>Iran</c:v>
                </c:pt>
                <c:pt idx="9">
                  <c:v>Kosovo</c:v>
                </c:pt>
                <c:pt idx="10">
                  <c:v>Macedonia</c:v>
                </c:pt>
                <c:pt idx="11">
                  <c:v>Nigeria</c:v>
                </c:pt>
                <c:pt idx="12">
                  <c:v>Pakistan</c:v>
                </c:pt>
                <c:pt idx="13">
                  <c:v>Russian Federation</c:v>
                </c:pt>
                <c:pt idx="14">
                  <c:v>Serbia</c:v>
                </c:pt>
                <c:pt idx="15">
                  <c:v>Somalia</c:v>
                </c:pt>
                <c:pt idx="16">
                  <c:v>Sri Lanka</c:v>
                </c:pt>
                <c:pt idx="17">
                  <c:v>Stateless</c:v>
                </c:pt>
                <c:pt idx="18">
                  <c:v>Others</c:v>
                </c:pt>
              </c:strCache>
            </c:strRef>
          </c:cat>
          <c:val>
            <c:numRef>
              <c:f>'Fig. S3'!$N$20:$N$38</c:f>
              <c:numCache>
                <c:formatCode>0.0%</c:formatCode>
                <c:ptCount val="19"/>
                <c:pt idx="0">
                  <c:v>6.6929753340508422E-2</c:v>
                </c:pt>
                <c:pt idx="1">
                  <c:v>0.34094270626813439</c:v>
                </c:pt>
                <c:pt idx="2">
                  <c:v>6.5832509876240175E-2</c:v>
                </c:pt>
                <c:pt idx="3">
                  <c:v>0.11488957283032168</c:v>
                </c:pt>
                <c:pt idx="4">
                  <c:v>2.0979798551974302E-6</c:v>
                </c:pt>
                <c:pt idx="5">
                  <c:v>2.3056798608619759E-2</c:v>
                </c:pt>
                <c:pt idx="6">
                  <c:v>2.0979798551974302E-6</c:v>
                </c:pt>
                <c:pt idx="7">
                  <c:v>2.0979798551974302E-6</c:v>
                </c:pt>
                <c:pt idx="8">
                  <c:v>2.0979798551974302E-6</c:v>
                </c:pt>
                <c:pt idx="9">
                  <c:v>7.782456272854868E-2</c:v>
                </c:pt>
                <c:pt idx="10">
                  <c:v>2.964655333379489E-2</c:v>
                </c:pt>
                <c:pt idx="11">
                  <c:v>2.0979798551974302E-6</c:v>
                </c:pt>
                <c:pt idx="12">
                  <c:v>1.7774085333232631E-2</c:v>
                </c:pt>
                <c:pt idx="13">
                  <c:v>2.0979798551974302E-6</c:v>
                </c:pt>
                <c:pt idx="14">
                  <c:v>5.6530067198294759E-2</c:v>
                </c:pt>
                <c:pt idx="15">
                  <c:v>2.0979798551974302E-6</c:v>
                </c:pt>
                <c:pt idx="16">
                  <c:v>2.0979798551974302E-6</c:v>
                </c:pt>
                <c:pt idx="17">
                  <c:v>2.0979798551974302E-6</c:v>
                </c:pt>
                <c:pt idx="18">
                  <c:v>0.20655450866360781</c:v>
                </c:pt>
              </c:numCache>
            </c:numRef>
          </c:val>
          <c:extLst>
            <c:ext xmlns:c14="http://schemas.microsoft.com/office/drawing/2007/8/2/chart" uri="{6F2FDCE9-48DA-4B69-8628-5D25D57E5C99}">
              <c14:invertSolidFillFmt>
                <c14:spPr xmlns:c14="http://schemas.microsoft.com/office/drawing/2007/8/2/chart">
                  <a:solidFill>
                    <a:srgbClr val="FFFFFF"/>
                  </a:solidFill>
                  <a:ln>
                    <a:noFill/>
                  </a:ln>
                  <a:effectLst/>
                </c14:spPr>
              </c14:invertSolidFillFmt>
            </c:ext>
          </c:extLst>
        </c:ser>
        <c:ser>
          <c:idx val="2"/>
          <c:order val="2"/>
          <c:tx>
            <c:strRef>
              <c:f>'Fig. S3'!$O$19</c:f>
              <c:strCache>
                <c:ptCount val="1"/>
                <c:pt idx="0">
                  <c:v>CH</c:v>
                </c:pt>
              </c:strCache>
            </c:strRef>
          </c:tx>
          <c:spPr>
            <a:solidFill>
              <a:srgbClr val="00B050"/>
            </a:solidFill>
            <a:ln>
              <a:noFill/>
            </a:ln>
            <a:effectLst/>
          </c:spPr>
          <c:invertIfNegative val="0"/>
          <c:cat>
            <c:strRef>
              <c:f>'Fig. S3'!$L$20:$L$38</c:f>
              <c:strCache>
                <c:ptCount val="19"/>
                <c:pt idx="0">
                  <c:v>Afghanistan</c:v>
                </c:pt>
                <c:pt idx="1">
                  <c:v>Syria</c:v>
                </c:pt>
                <c:pt idx="2">
                  <c:v>Iraq</c:v>
                </c:pt>
                <c:pt idx="3">
                  <c:v>Albania</c:v>
                </c:pt>
                <c:pt idx="4">
                  <c:v>Algeria</c:v>
                </c:pt>
                <c:pt idx="5">
                  <c:v>Eritrea</c:v>
                </c:pt>
                <c:pt idx="6">
                  <c:v>Ethiopia</c:v>
                </c:pt>
                <c:pt idx="7">
                  <c:v>Gambia</c:v>
                </c:pt>
                <c:pt idx="8">
                  <c:v>Iran</c:v>
                </c:pt>
                <c:pt idx="9">
                  <c:v>Kosovo</c:v>
                </c:pt>
                <c:pt idx="10">
                  <c:v>Macedonia</c:v>
                </c:pt>
                <c:pt idx="11">
                  <c:v>Nigeria</c:v>
                </c:pt>
                <c:pt idx="12">
                  <c:v>Pakistan</c:v>
                </c:pt>
                <c:pt idx="13">
                  <c:v>Russian Federation</c:v>
                </c:pt>
                <c:pt idx="14">
                  <c:v>Serbia</c:v>
                </c:pt>
                <c:pt idx="15">
                  <c:v>Somalia</c:v>
                </c:pt>
                <c:pt idx="16">
                  <c:v>Sri Lanka</c:v>
                </c:pt>
                <c:pt idx="17">
                  <c:v>Stateless</c:v>
                </c:pt>
                <c:pt idx="18">
                  <c:v>Others</c:v>
                </c:pt>
              </c:strCache>
            </c:strRef>
          </c:cat>
          <c:val>
            <c:numRef>
              <c:f>'Fig. S3'!$O$20:$O$38</c:f>
              <c:numCache>
                <c:formatCode>0.0%</c:formatCode>
                <c:ptCount val="19"/>
                <c:pt idx="0">
                  <c:v>0.1981377931837158</c:v>
                </c:pt>
                <c:pt idx="1">
                  <c:v>0.12005667585962604</c:v>
                </c:pt>
                <c:pt idx="2">
                  <c:v>6.0420514637046785E-2</c:v>
                </c:pt>
                <c:pt idx="3">
                  <c:v>2.5301723047339524E-5</c:v>
                </c:pt>
                <c:pt idx="4">
                  <c:v>2.5301723047339524E-5</c:v>
                </c:pt>
                <c:pt idx="5">
                  <c:v>0.2521569718897857</c:v>
                </c:pt>
                <c:pt idx="6">
                  <c:v>1.5155732105356375E-2</c:v>
                </c:pt>
                <c:pt idx="7">
                  <c:v>2.4492067909824659E-2</c:v>
                </c:pt>
                <c:pt idx="8">
                  <c:v>1.5762973458492525E-2</c:v>
                </c:pt>
                <c:pt idx="9">
                  <c:v>2.5301723047339524E-5</c:v>
                </c:pt>
                <c:pt idx="10">
                  <c:v>2.5301723047339524E-5</c:v>
                </c:pt>
                <c:pt idx="11">
                  <c:v>2.4542671355919338E-2</c:v>
                </c:pt>
                <c:pt idx="12">
                  <c:v>2.5301723047339524E-5</c:v>
                </c:pt>
                <c:pt idx="13">
                  <c:v>2.5301723047339524E-5</c:v>
                </c:pt>
                <c:pt idx="14">
                  <c:v>2.5301723047339524E-5</c:v>
                </c:pt>
                <c:pt idx="15">
                  <c:v>3.170305897831642E-2</c:v>
                </c:pt>
                <c:pt idx="16">
                  <c:v>4.7516635882903627E-2</c:v>
                </c:pt>
                <c:pt idx="17">
                  <c:v>2.5301723047339524E-5</c:v>
                </c:pt>
                <c:pt idx="18">
                  <c:v>0.20985249095463401</c:v>
                </c:pt>
              </c:numCache>
            </c:numRef>
          </c:val>
        </c:ser>
        <c:ser>
          <c:idx val="3"/>
          <c:order val="3"/>
          <c:tx>
            <c:strRef>
              <c:f>'Fig. S3'!$P$19</c:f>
              <c:strCache>
                <c:ptCount val="1"/>
                <c:pt idx="0">
                  <c:v>SE</c:v>
                </c:pt>
              </c:strCache>
            </c:strRef>
          </c:tx>
          <c:spPr>
            <a:solidFill>
              <a:srgbClr val="7030A0"/>
            </a:solidFill>
            <a:ln>
              <a:noFill/>
            </a:ln>
            <a:effectLst/>
          </c:spPr>
          <c:invertIfNegative val="0"/>
          <c:cat>
            <c:strRef>
              <c:f>'Fig. S3'!$L$20:$L$38</c:f>
              <c:strCache>
                <c:ptCount val="19"/>
                <c:pt idx="0">
                  <c:v>Afghanistan</c:v>
                </c:pt>
                <c:pt idx="1">
                  <c:v>Syria</c:v>
                </c:pt>
                <c:pt idx="2">
                  <c:v>Iraq</c:v>
                </c:pt>
                <c:pt idx="3">
                  <c:v>Albania</c:v>
                </c:pt>
                <c:pt idx="4">
                  <c:v>Algeria</c:v>
                </c:pt>
                <c:pt idx="5">
                  <c:v>Eritrea</c:v>
                </c:pt>
                <c:pt idx="6">
                  <c:v>Ethiopia</c:v>
                </c:pt>
                <c:pt idx="7">
                  <c:v>Gambia</c:v>
                </c:pt>
                <c:pt idx="8">
                  <c:v>Iran</c:v>
                </c:pt>
                <c:pt idx="9">
                  <c:v>Kosovo</c:v>
                </c:pt>
                <c:pt idx="10">
                  <c:v>Macedonia</c:v>
                </c:pt>
                <c:pt idx="11">
                  <c:v>Nigeria</c:v>
                </c:pt>
                <c:pt idx="12">
                  <c:v>Pakistan</c:v>
                </c:pt>
                <c:pt idx="13">
                  <c:v>Russian Federation</c:v>
                </c:pt>
                <c:pt idx="14">
                  <c:v>Serbia</c:v>
                </c:pt>
                <c:pt idx="15">
                  <c:v>Somalia</c:v>
                </c:pt>
                <c:pt idx="16">
                  <c:v>Sri Lanka</c:v>
                </c:pt>
                <c:pt idx="17">
                  <c:v>Stateless</c:v>
                </c:pt>
                <c:pt idx="18">
                  <c:v>Others</c:v>
                </c:pt>
              </c:strCache>
            </c:strRef>
          </c:cat>
          <c:val>
            <c:numRef>
              <c:f>'Fig. S3'!$P$20:$P$38</c:f>
              <c:numCache>
                <c:formatCode>0.0%</c:formatCode>
                <c:ptCount val="19"/>
                <c:pt idx="0">
                  <c:v>0.25457860839774799</c:v>
                </c:pt>
                <c:pt idx="1">
                  <c:v>0.31519490167426956</c:v>
                </c:pt>
                <c:pt idx="2">
                  <c:v>0.12805368468230627</c:v>
                </c:pt>
                <c:pt idx="3">
                  <c:v>1.6055059953216232E-2</c:v>
                </c:pt>
                <c:pt idx="4">
                  <c:v>2.5847725584336647E-3</c:v>
                </c:pt>
                <c:pt idx="5">
                  <c:v>4.4395464061838072E-2</c:v>
                </c:pt>
                <c:pt idx="6">
                  <c:v>1.0529417904308159E-2</c:v>
                </c:pt>
                <c:pt idx="7">
                  <c:v>1.0928492052284854E-3</c:v>
                </c:pt>
                <c:pt idx="8">
                  <c:v>2.7996586381134229E-2</c:v>
                </c:pt>
                <c:pt idx="9">
                  <c:v>1.0922352450008289E-2</c:v>
                </c:pt>
                <c:pt idx="10">
                  <c:v>2.8487754563259393E-3</c:v>
                </c:pt>
                <c:pt idx="11">
                  <c:v>2.8610546608790681E-3</c:v>
                </c:pt>
                <c:pt idx="12">
                  <c:v>3.3460832407276658E-3</c:v>
                </c:pt>
                <c:pt idx="13">
                  <c:v>4.0398582979794566E-3</c:v>
                </c:pt>
                <c:pt idx="14">
                  <c:v>6.4650011972224438E-3</c:v>
                </c:pt>
                <c:pt idx="15">
                  <c:v>3.3552926441425122E-2</c:v>
                </c:pt>
                <c:pt idx="16">
                  <c:v>1.7804846602037121E-4</c:v>
                </c:pt>
                <c:pt idx="17">
                  <c:v>4.7342473154589046E-2</c:v>
                </c:pt>
                <c:pt idx="18">
                  <c:v>8.7962081816339938E-2</c:v>
                </c:pt>
              </c:numCache>
            </c:numRef>
          </c:val>
        </c:ser>
        <c:ser>
          <c:idx val="4"/>
          <c:order val="4"/>
          <c:tx>
            <c:strRef>
              <c:f>'Fig. S3'!$Q$19</c:f>
              <c:strCache>
                <c:ptCount val="1"/>
                <c:pt idx="0">
                  <c:v>NO</c:v>
                </c:pt>
              </c:strCache>
            </c:strRef>
          </c:tx>
          <c:spPr>
            <a:solidFill>
              <a:srgbClr val="FFC000"/>
            </a:solidFill>
            <a:ln>
              <a:noFill/>
            </a:ln>
            <a:effectLst/>
          </c:spPr>
          <c:invertIfNegative val="0"/>
          <c:cat>
            <c:strRef>
              <c:f>'Fig. S3'!$L$20:$L$38</c:f>
              <c:strCache>
                <c:ptCount val="19"/>
                <c:pt idx="0">
                  <c:v>Afghanistan</c:v>
                </c:pt>
                <c:pt idx="1">
                  <c:v>Syria</c:v>
                </c:pt>
                <c:pt idx="2">
                  <c:v>Iraq</c:v>
                </c:pt>
                <c:pt idx="3">
                  <c:v>Albania</c:v>
                </c:pt>
                <c:pt idx="4">
                  <c:v>Algeria</c:v>
                </c:pt>
                <c:pt idx="5">
                  <c:v>Eritrea</c:v>
                </c:pt>
                <c:pt idx="6">
                  <c:v>Ethiopia</c:v>
                </c:pt>
                <c:pt idx="7">
                  <c:v>Gambia</c:v>
                </c:pt>
                <c:pt idx="8">
                  <c:v>Iran</c:v>
                </c:pt>
                <c:pt idx="9">
                  <c:v>Kosovo</c:v>
                </c:pt>
                <c:pt idx="10">
                  <c:v>Macedonia</c:v>
                </c:pt>
                <c:pt idx="11">
                  <c:v>Nigeria</c:v>
                </c:pt>
                <c:pt idx="12">
                  <c:v>Pakistan</c:v>
                </c:pt>
                <c:pt idx="13">
                  <c:v>Russian Federation</c:v>
                </c:pt>
                <c:pt idx="14">
                  <c:v>Serbia</c:v>
                </c:pt>
                <c:pt idx="15">
                  <c:v>Somalia</c:v>
                </c:pt>
                <c:pt idx="16">
                  <c:v>Sri Lanka</c:v>
                </c:pt>
                <c:pt idx="17">
                  <c:v>Stateless</c:v>
                </c:pt>
                <c:pt idx="18">
                  <c:v>Others</c:v>
                </c:pt>
              </c:strCache>
            </c:strRef>
          </c:cat>
          <c:val>
            <c:numRef>
              <c:f>'Fig. S3'!$Q$20:$Q$38</c:f>
              <c:numCache>
                <c:formatCode>0.0%</c:formatCode>
                <c:ptCount val="19"/>
                <c:pt idx="0">
                  <c:v>0.22433777492374377</c:v>
                </c:pt>
                <c:pt idx="1">
                  <c:v>0.33828864986354151</c:v>
                </c:pt>
                <c:pt idx="2">
                  <c:v>9.6034676513083964E-2</c:v>
                </c:pt>
                <c:pt idx="3">
                  <c:v>1.3838497351099694E-2</c:v>
                </c:pt>
                <c:pt idx="4">
                  <c:v>3.3392197784556108E-3</c:v>
                </c:pt>
                <c:pt idx="5">
                  <c:v>9.4621929683737352E-2</c:v>
                </c:pt>
                <c:pt idx="6">
                  <c:v>2.1865467972387222E-2</c:v>
                </c:pt>
                <c:pt idx="7">
                  <c:v>1.3806389468614545E-3</c:v>
                </c:pt>
                <c:pt idx="8">
                  <c:v>4.3088778295071441E-2</c:v>
                </c:pt>
                <c:pt idx="9">
                  <c:v>5.4904479049606679E-3</c:v>
                </c:pt>
                <c:pt idx="10">
                  <c:v>1.3806389468614545E-3</c:v>
                </c:pt>
                <c:pt idx="11">
                  <c:v>4.1098089580992132E-3</c:v>
                </c:pt>
                <c:pt idx="12">
                  <c:v>1.4159576175951196E-2</c:v>
                </c:pt>
                <c:pt idx="13">
                  <c:v>3.9492695456734631E-3</c:v>
                </c:pt>
                <c:pt idx="14">
                  <c:v>1.6696098892278054E-3</c:v>
                </c:pt>
                <c:pt idx="15">
                  <c:v>1.8012522074169209E-2</c:v>
                </c:pt>
                <c:pt idx="16">
                  <c:v>6.4215764970300209E-4</c:v>
                </c:pt>
                <c:pt idx="17">
                  <c:v>3.6281907208219617E-2</c:v>
                </c:pt>
                <c:pt idx="18">
                  <c:v>7.7508428319152348E-2</c:v>
                </c:pt>
              </c:numCache>
            </c:numRef>
          </c:val>
        </c:ser>
        <c:dLbls>
          <c:showLegendKey val="0"/>
          <c:showVal val="0"/>
          <c:showCatName val="0"/>
          <c:showSerName val="0"/>
          <c:showPercent val="0"/>
          <c:showBubbleSize val="0"/>
        </c:dLbls>
        <c:gapWidth val="138"/>
        <c:axId val="342007128"/>
        <c:axId val="342007520"/>
      </c:barChart>
      <c:catAx>
        <c:axId val="34200712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2007520"/>
        <c:crosses val="autoZero"/>
        <c:auto val="1"/>
        <c:lblAlgn val="ctr"/>
        <c:lblOffset val="100"/>
        <c:noMultiLvlLbl val="0"/>
      </c:catAx>
      <c:valAx>
        <c:axId val="342007520"/>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2007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701D6-7B51-476C-951D-E946570A5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1881</Words>
  <Characters>10728</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Buber-Ennser, Isabella</dc:creator>
  <cp:lastModifiedBy>Buber-Ennser, Isabella</cp:lastModifiedBy>
  <cp:revision>2</cp:revision>
  <cp:lastPrinted>2016-08-01T11:41:00Z</cp:lastPrinted>
  <dcterms:created xsi:type="dcterms:W3CDTF">2016-08-02T07:26:00Z</dcterms:created>
  <dcterms:modified xsi:type="dcterms:W3CDTF">2016-08-02T07:26:00Z</dcterms:modified>
</cp:coreProperties>
</file>