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FF" w:rsidRDefault="004A6D43">
      <w:pPr>
        <w:rPr>
          <w:b/>
        </w:rPr>
      </w:pPr>
      <w:r>
        <w:rPr>
          <w:b/>
        </w:rPr>
        <w:t>S3 Appendix</w:t>
      </w:r>
      <w:bookmarkStart w:id="0" w:name="_GoBack"/>
      <w:bookmarkEnd w:id="0"/>
      <w:r w:rsidR="00605984" w:rsidRPr="00605984">
        <w:rPr>
          <w:b/>
        </w:rPr>
        <w:t xml:space="preserve">: </w:t>
      </w:r>
      <w:r w:rsidR="00605984">
        <w:rPr>
          <w:b/>
        </w:rPr>
        <w:t>Demographic and Health Surveys for Cambodia – Observations with missing data</w:t>
      </w:r>
    </w:p>
    <w:p w:rsidR="00605984" w:rsidRDefault="00605984" w:rsidP="00266148">
      <w:pPr>
        <w:spacing w:after="0" w:line="360" w:lineRule="auto"/>
      </w:pPr>
      <w:r>
        <w:t xml:space="preserve">The analysis in this paper uses data from four rounds of Demographic and Health Surveys for Cambodia – for the years 2000, 2005, 2010 and 2014. The dataset from each round has observations with missing data on child HAZ scores (the dependent variable used in our model) and certain covariates. Table-1 below shows the percentage of observations with missing data by variable and survey year. </w:t>
      </w:r>
    </w:p>
    <w:p w:rsidR="00605984" w:rsidRPr="00605984" w:rsidRDefault="00605984" w:rsidP="00266148">
      <w:pPr>
        <w:keepNext/>
        <w:keepLines/>
        <w:spacing w:before="120" w:after="0"/>
        <w:jc w:val="center"/>
        <w:outlineLvl w:val="2"/>
        <w:rPr>
          <w:rFonts w:eastAsia="Calibri" w:cs="Times New Roman"/>
          <w:b/>
          <w:bCs/>
          <w:sz w:val="20"/>
          <w:szCs w:val="20"/>
        </w:rPr>
      </w:pPr>
      <w:r w:rsidRPr="00605984">
        <w:rPr>
          <w:rFonts w:eastAsia="Calibri" w:cs="Times New Roman"/>
          <w:b/>
          <w:bCs/>
          <w:sz w:val="20"/>
          <w:szCs w:val="20"/>
        </w:rPr>
        <w:t>Table</w:t>
      </w:r>
      <w:r>
        <w:rPr>
          <w:rFonts w:eastAsia="Calibri" w:cs="Times New Roman"/>
          <w:b/>
          <w:bCs/>
          <w:sz w:val="20"/>
          <w:szCs w:val="20"/>
        </w:rPr>
        <w:t xml:space="preserve">-1: </w:t>
      </w:r>
      <w:r w:rsidRPr="00605984">
        <w:rPr>
          <w:rFonts w:eastAsia="Calibri" w:cs="Times New Roman"/>
          <w:b/>
          <w:bCs/>
          <w:sz w:val="20"/>
          <w:szCs w:val="20"/>
        </w:rPr>
        <w:t xml:space="preserve"> Percentage of missing observations by variable and survey year</w:t>
      </w:r>
      <w:r>
        <w:rPr>
          <w:rFonts w:eastAsia="Calibri" w:cs="Times New Roman"/>
          <w:b/>
          <w:bCs/>
          <w:sz w:val="20"/>
          <w:szCs w:val="20"/>
        </w:rPr>
        <w:t xml:space="preserve"> in Cambodia DHS datasets</w:t>
      </w:r>
    </w:p>
    <w:tbl>
      <w:tblPr>
        <w:tblW w:w="836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541"/>
        <w:gridCol w:w="846"/>
        <w:gridCol w:w="992"/>
        <w:gridCol w:w="993"/>
        <w:gridCol w:w="992"/>
      </w:tblGrid>
      <w:tr w:rsidR="00605984" w:rsidRPr="00605984" w:rsidTr="00F20CEE">
        <w:trPr>
          <w:trHeight w:val="113"/>
          <w:jc w:val="center"/>
        </w:trPr>
        <w:tc>
          <w:tcPr>
            <w:tcW w:w="4541" w:type="dxa"/>
            <w:shd w:val="clear" w:color="auto" w:fill="auto"/>
            <w:noWrap/>
            <w:vAlign w:val="bottom"/>
            <w:hideMark/>
          </w:tcPr>
          <w:p w:rsidR="00605984" w:rsidRPr="00605984" w:rsidRDefault="00605984" w:rsidP="00F20CEE">
            <w:pPr>
              <w:spacing w:after="0" w:line="240" w:lineRule="auto"/>
              <w:rPr>
                <w:rFonts w:eastAsia="Calibri" w:cs="Times New Roman"/>
                <w:sz w:val="16"/>
                <w:szCs w:val="16"/>
              </w:rPr>
            </w:pPr>
          </w:p>
        </w:tc>
        <w:tc>
          <w:tcPr>
            <w:tcW w:w="846" w:type="dxa"/>
            <w:shd w:val="clear" w:color="auto" w:fill="auto"/>
            <w:noWrap/>
            <w:vAlign w:val="bottom"/>
            <w:hideMark/>
          </w:tcPr>
          <w:p w:rsidR="00605984" w:rsidRPr="00605984" w:rsidRDefault="00605984" w:rsidP="00F20CEE">
            <w:pPr>
              <w:spacing w:after="0" w:line="240" w:lineRule="auto"/>
              <w:jc w:val="center"/>
              <w:rPr>
                <w:b/>
                <w:sz w:val="16"/>
                <w:szCs w:val="16"/>
              </w:rPr>
            </w:pPr>
            <w:r w:rsidRPr="00605984">
              <w:rPr>
                <w:b/>
                <w:sz w:val="16"/>
                <w:szCs w:val="16"/>
              </w:rPr>
              <w:t>2000</w:t>
            </w:r>
          </w:p>
        </w:tc>
        <w:tc>
          <w:tcPr>
            <w:tcW w:w="992" w:type="dxa"/>
            <w:shd w:val="clear" w:color="auto" w:fill="auto"/>
            <w:noWrap/>
            <w:vAlign w:val="bottom"/>
            <w:hideMark/>
          </w:tcPr>
          <w:p w:rsidR="00605984" w:rsidRPr="00605984" w:rsidRDefault="00605984" w:rsidP="00F20CEE">
            <w:pPr>
              <w:spacing w:after="0" w:line="240" w:lineRule="auto"/>
              <w:jc w:val="center"/>
              <w:rPr>
                <w:b/>
                <w:sz w:val="16"/>
                <w:szCs w:val="16"/>
              </w:rPr>
            </w:pPr>
            <w:r w:rsidRPr="00605984">
              <w:rPr>
                <w:b/>
                <w:sz w:val="16"/>
                <w:szCs w:val="16"/>
              </w:rPr>
              <w:t>2005</w:t>
            </w:r>
          </w:p>
        </w:tc>
        <w:tc>
          <w:tcPr>
            <w:tcW w:w="993" w:type="dxa"/>
            <w:shd w:val="clear" w:color="auto" w:fill="auto"/>
            <w:noWrap/>
            <w:vAlign w:val="bottom"/>
            <w:hideMark/>
          </w:tcPr>
          <w:p w:rsidR="00605984" w:rsidRPr="00605984" w:rsidRDefault="00605984" w:rsidP="00F20CEE">
            <w:pPr>
              <w:spacing w:after="0" w:line="240" w:lineRule="auto"/>
              <w:jc w:val="center"/>
              <w:rPr>
                <w:b/>
                <w:sz w:val="16"/>
                <w:szCs w:val="16"/>
              </w:rPr>
            </w:pPr>
            <w:r w:rsidRPr="00605984">
              <w:rPr>
                <w:b/>
                <w:sz w:val="16"/>
                <w:szCs w:val="16"/>
              </w:rPr>
              <w:t>2010</w:t>
            </w:r>
          </w:p>
        </w:tc>
        <w:tc>
          <w:tcPr>
            <w:tcW w:w="992" w:type="dxa"/>
            <w:shd w:val="clear" w:color="auto" w:fill="auto"/>
            <w:noWrap/>
            <w:vAlign w:val="bottom"/>
            <w:hideMark/>
          </w:tcPr>
          <w:p w:rsidR="00605984" w:rsidRPr="00605984" w:rsidRDefault="00605984" w:rsidP="00F20CEE">
            <w:pPr>
              <w:spacing w:after="0" w:line="240" w:lineRule="auto"/>
              <w:jc w:val="center"/>
              <w:rPr>
                <w:b/>
                <w:sz w:val="16"/>
                <w:szCs w:val="16"/>
              </w:rPr>
            </w:pPr>
            <w:r w:rsidRPr="00605984">
              <w:rPr>
                <w:b/>
                <w:sz w:val="16"/>
                <w:szCs w:val="16"/>
              </w:rPr>
              <w:t>2014</w:t>
            </w:r>
          </w:p>
        </w:tc>
      </w:tr>
      <w:tr w:rsidR="00605984" w:rsidRPr="00605984" w:rsidTr="00F20CEE">
        <w:trPr>
          <w:trHeight w:val="113"/>
          <w:jc w:val="center"/>
        </w:trPr>
        <w:tc>
          <w:tcPr>
            <w:tcW w:w="4541" w:type="dxa"/>
            <w:shd w:val="clear" w:color="auto" w:fill="auto"/>
            <w:noWrap/>
            <w:hideMark/>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Children HAZ score</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rPr>
              <w:t>57.27%</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54.21%</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52.77%</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37.03%</w:t>
            </w:r>
          </w:p>
        </w:tc>
      </w:tr>
      <w:tr w:rsidR="00605984" w:rsidRPr="00605984" w:rsidTr="00F20CEE">
        <w:trPr>
          <w:trHeight w:val="113"/>
          <w:jc w:val="center"/>
        </w:trPr>
        <w:tc>
          <w:tcPr>
            <w:tcW w:w="4541" w:type="dxa"/>
            <w:shd w:val="clear" w:color="auto" w:fill="auto"/>
            <w:noWrap/>
            <w:hideMark/>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Gender (% of female children)</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hideMark/>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Age in months</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rPr>
              <w:t>10.95%</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7.18%</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5.00%</w:t>
            </w: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2.71%</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Hospital birth (%)</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Children breastfed within 1 hour of birth (%)</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Mothers receiving pre-natal visits (%)</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Children receiving recommended vaccinations (WHO) (%)</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Dependency ratio</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 xml:space="preserve">Mother’s BMI </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rPr>
              <w:t>50.32%</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50.04%</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49.68%</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34.42%</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Mothers currently working (%)</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Mothers attending any school (%)</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Fathers attending any school (%)</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Rural household (%)</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Continuous wealth index</w:t>
            </w: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r w:rsidRPr="00605984">
              <w:rPr>
                <w:color w:val="000000"/>
                <w:sz w:val="16"/>
                <w:szCs w:val="16"/>
              </w:rPr>
              <w:t>0.82%</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1.10%</w:t>
            </w: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0.67%</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0.46%</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p>
        </w:tc>
        <w:tc>
          <w:tcPr>
            <w:tcW w:w="846" w:type="dxa"/>
            <w:shd w:val="clear" w:color="auto" w:fill="auto"/>
            <w:noWrap/>
            <w:vAlign w:val="bottom"/>
          </w:tcPr>
          <w:p w:rsidR="00605984" w:rsidRPr="00605984" w:rsidRDefault="00605984" w:rsidP="00F20CEE">
            <w:pPr>
              <w:spacing w:after="0" w:line="240" w:lineRule="auto"/>
              <w:jc w:val="right"/>
              <w:rPr>
                <w:color w:val="000000"/>
                <w:sz w:val="16"/>
                <w:szCs w:val="16"/>
              </w:rPr>
            </w:pP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Observations with at least one missing variable</w:t>
            </w:r>
          </w:p>
        </w:tc>
        <w:tc>
          <w:tcPr>
            <w:tcW w:w="846"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57.64%</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54.38%</w:t>
            </w:r>
          </w:p>
        </w:tc>
        <w:tc>
          <w:tcPr>
            <w:tcW w:w="993"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52.98%</w:t>
            </w:r>
          </w:p>
        </w:tc>
        <w:tc>
          <w:tcPr>
            <w:tcW w:w="992" w:type="dxa"/>
            <w:shd w:val="clear" w:color="auto" w:fill="auto"/>
            <w:noWrap/>
            <w:vAlign w:val="bottom"/>
          </w:tcPr>
          <w:p w:rsidR="00605984" w:rsidRPr="00605984" w:rsidRDefault="00605984" w:rsidP="00F20CEE">
            <w:pPr>
              <w:tabs>
                <w:tab w:val="decimal" w:pos="308"/>
              </w:tabs>
              <w:spacing w:after="0" w:line="240" w:lineRule="auto"/>
              <w:jc w:val="right"/>
              <w:rPr>
                <w:color w:val="000000"/>
                <w:sz w:val="16"/>
                <w:szCs w:val="16"/>
              </w:rPr>
            </w:pPr>
            <w:r w:rsidRPr="00605984">
              <w:rPr>
                <w:color w:val="000000"/>
                <w:sz w:val="16"/>
                <w:szCs w:val="16"/>
              </w:rPr>
              <w:t>37.32%</w:t>
            </w:r>
          </w:p>
        </w:tc>
      </w:tr>
    </w:tbl>
    <w:p w:rsidR="00605984" w:rsidRPr="00605984" w:rsidRDefault="00605984" w:rsidP="00605984">
      <w:pPr>
        <w:jc w:val="both"/>
        <w:rPr>
          <w:rFonts w:eastAsia="Calibri" w:cs="Times New Roman"/>
          <w:sz w:val="18"/>
        </w:rPr>
      </w:pPr>
      <w:r w:rsidRPr="00605984">
        <w:rPr>
          <w:rFonts w:eastAsia="Calibri" w:cs="Times New Roman"/>
          <w:sz w:val="18"/>
        </w:rPr>
        <w:t xml:space="preserve">Note: </w:t>
      </w:r>
      <w:r>
        <w:rPr>
          <w:rFonts w:eastAsia="Calibri" w:cs="Times New Roman"/>
          <w:sz w:val="18"/>
        </w:rPr>
        <w:t xml:space="preserve">DHS </w:t>
      </w:r>
      <w:r w:rsidRPr="00605984">
        <w:rPr>
          <w:rFonts w:eastAsia="Calibri" w:cs="Times New Roman"/>
          <w:sz w:val="18"/>
        </w:rPr>
        <w:t>Surveys of 2000, 2005, 2010, 2014.</w:t>
      </w:r>
    </w:p>
    <w:p w:rsidR="00605984" w:rsidRPr="00605984" w:rsidRDefault="00605984" w:rsidP="00605984">
      <w:pPr>
        <w:spacing w:line="360" w:lineRule="auto"/>
        <w:jc w:val="both"/>
      </w:pPr>
      <w:r>
        <w:t xml:space="preserve">The observations with missing data were deleted from the analysis. The deletion of observations with missing data could introduce bias in our parameter estimates if the characteristics of the households included in the analysis were significantly different from the characteristics of households excluded from the analysis. Table -2 below compares the characteristics </w:t>
      </w:r>
      <w:r w:rsidR="00266148">
        <w:t>the full sample with the characteristics of the sub-sample with complete information</w:t>
      </w:r>
      <w:r>
        <w:t xml:space="preserve">. We find no significant differences in the characteristics </w:t>
      </w:r>
      <w:r w:rsidR="00266148">
        <w:t>the full sample and the sub-sample with complete information</w:t>
      </w:r>
      <w:r>
        <w:t xml:space="preserve">. This supports our assumption that observations with missing data occur randomly. </w:t>
      </w:r>
    </w:p>
    <w:p w:rsidR="00605984" w:rsidRPr="00605984" w:rsidRDefault="00605984" w:rsidP="00605984">
      <w:pPr>
        <w:keepNext/>
        <w:keepLines/>
        <w:spacing w:before="200" w:after="0"/>
        <w:outlineLvl w:val="2"/>
        <w:rPr>
          <w:rFonts w:eastAsia="Calibri" w:cs="Times New Roman"/>
          <w:b/>
          <w:bCs/>
          <w:sz w:val="20"/>
          <w:szCs w:val="20"/>
        </w:rPr>
      </w:pPr>
      <w:r w:rsidRPr="00605984">
        <w:rPr>
          <w:rFonts w:eastAsia="Calibri" w:cs="Times New Roman"/>
          <w:b/>
          <w:bCs/>
          <w:sz w:val="20"/>
          <w:szCs w:val="20"/>
        </w:rPr>
        <w:t>Table</w:t>
      </w:r>
      <w:r w:rsidR="00266148">
        <w:rPr>
          <w:rFonts w:eastAsia="Calibri" w:cs="Times New Roman"/>
          <w:b/>
          <w:bCs/>
          <w:sz w:val="20"/>
          <w:szCs w:val="20"/>
        </w:rPr>
        <w:t>-2: DHS Cambodia datasets: Statistical differences between characteristics of all sample households and sub-sample of households with complete information</w:t>
      </w:r>
    </w:p>
    <w:tbl>
      <w:tblPr>
        <w:tblW w:w="836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541"/>
        <w:gridCol w:w="846"/>
        <w:gridCol w:w="992"/>
        <w:gridCol w:w="993"/>
        <w:gridCol w:w="992"/>
      </w:tblGrid>
      <w:tr w:rsidR="00605984" w:rsidRPr="00605984" w:rsidTr="00F20CEE">
        <w:trPr>
          <w:trHeight w:val="113"/>
          <w:jc w:val="center"/>
        </w:trPr>
        <w:tc>
          <w:tcPr>
            <w:tcW w:w="4541" w:type="dxa"/>
            <w:shd w:val="clear" w:color="auto" w:fill="auto"/>
            <w:noWrap/>
            <w:vAlign w:val="bottom"/>
            <w:hideMark/>
          </w:tcPr>
          <w:p w:rsidR="00605984" w:rsidRPr="00605984" w:rsidRDefault="00266148" w:rsidP="00F20CEE">
            <w:pPr>
              <w:spacing w:after="0" w:line="240" w:lineRule="auto"/>
              <w:rPr>
                <w:rFonts w:eastAsia="Calibri" w:cs="Times New Roman"/>
                <w:sz w:val="16"/>
                <w:szCs w:val="16"/>
              </w:rPr>
            </w:pPr>
            <w:r>
              <w:rPr>
                <w:rFonts w:eastAsia="Calibri" w:cs="Times New Roman"/>
                <w:sz w:val="16"/>
                <w:szCs w:val="16"/>
              </w:rPr>
              <w:t>Survey year</w:t>
            </w:r>
          </w:p>
        </w:tc>
        <w:tc>
          <w:tcPr>
            <w:tcW w:w="846" w:type="dxa"/>
            <w:shd w:val="clear" w:color="auto" w:fill="auto"/>
            <w:noWrap/>
            <w:vAlign w:val="bottom"/>
            <w:hideMark/>
          </w:tcPr>
          <w:p w:rsidR="00605984" w:rsidRPr="00605984" w:rsidRDefault="00605984" w:rsidP="00F20CEE">
            <w:pPr>
              <w:spacing w:after="0" w:line="240" w:lineRule="auto"/>
              <w:jc w:val="center"/>
              <w:rPr>
                <w:b/>
                <w:sz w:val="16"/>
                <w:szCs w:val="16"/>
              </w:rPr>
            </w:pPr>
            <w:r w:rsidRPr="00605984">
              <w:rPr>
                <w:b/>
                <w:sz w:val="16"/>
                <w:szCs w:val="16"/>
              </w:rPr>
              <w:t>2000</w:t>
            </w:r>
          </w:p>
        </w:tc>
        <w:tc>
          <w:tcPr>
            <w:tcW w:w="992" w:type="dxa"/>
            <w:shd w:val="clear" w:color="auto" w:fill="auto"/>
            <w:noWrap/>
            <w:vAlign w:val="bottom"/>
            <w:hideMark/>
          </w:tcPr>
          <w:p w:rsidR="00605984" w:rsidRPr="00605984" w:rsidRDefault="00605984" w:rsidP="00F20CEE">
            <w:pPr>
              <w:spacing w:after="0" w:line="240" w:lineRule="auto"/>
              <w:jc w:val="center"/>
              <w:rPr>
                <w:b/>
                <w:sz w:val="16"/>
                <w:szCs w:val="16"/>
              </w:rPr>
            </w:pPr>
            <w:r w:rsidRPr="00605984">
              <w:rPr>
                <w:b/>
                <w:sz w:val="16"/>
                <w:szCs w:val="16"/>
              </w:rPr>
              <w:t>2005</w:t>
            </w:r>
          </w:p>
        </w:tc>
        <w:tc>
          <w:tcPr>
            <w:tcW w:w="993" w:type="dxa"/>
            <w:shd w:val="clear" w:color="auto" w:fill="auto"/>
            <w:noWrap/>
            <w:vAlign w:val="bottom"/>
            <w:hideMark/>
          </w:tcPr>
          <w:p w:rsidR="00605984" w:rsidRPr="00605984" w:rsidRDefault="00605984" w:rsidP="00F20CEE">
            <w:pPr>
              <w:spacing w:after="0" w:line="240" w:lineRule="auto"/>
              <w:jc w:val="center"/>
              <w:rPr>
                <w:b/>
                <w:sz w:val="16"/>
                <w:szCs w:val="16"/>
              </w:rPr>
            </w:pPr>
            <w:r w:rsidRPr="00605984">
              <w:rPr>
                <w:b/>
                <w:sz w:val="16"/>
                <w:szCs w:val="16"/>
              </w:rPr>
              <w:t>2010</w:t>
            </w:r>
          </w:p>
        </w:tc>
        <w:tc>
          <w:tcPr>
            <w:tcW w:w="992" w:type="dxa"/>
            <w:shd w:val="clear" w:color="auto" w:fill="auto"/>
            <w:noWrap/>
            <w:vAlign w:val="bottom"/>
            <w:hideMark/>
          </w:tcPr>
          <w:p w:rsidR="00605984" w:rsidRPr="00605984" w:rsidRDefault="00605984" w:rsidP="00F20CEE">
            <w:pPr>
              <w:spacing w:after="0" w:line="240" w:lineRule="auto"/>
              <w:jc w:val="center"/>
              <w:rPr>
                <w:b/>
                <w:sz w:val="16"/>
                <w:szCs w:val="16"/>
              </w:rPr>
            </w:pPr>
            <w:r w:rsidRPr="00605984">
              <w:rPr>
                <w:b/>
                <w:sz w:val="16"/>
                <w:szCs w:val="16"/>
              </w:rPr>
              <w:t>2014</w:t>
            </w:r>
          </w:p>
        </w:tc>
      </w:tr>
      <w:tr w:rsidR="00605984" w:rsidRPr="00605984" w:rsidTr="00F20CEE">
        <w:trPr>
          <w:trHeight w:val="113"/>
          <w:jc w:val="center"/>
        </w:trPr>
        <w:tc>
          <w:tcPr>
            <w:tcW w:w="4541" w:type="dxa"/>
            <w:shd w:val="clear" w:color="auto" w:fill="auto"/>
            <w:noWrap/>
            <w:hideMark/>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Gender (% of female children)</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0.02</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0.00</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Hospital birth (%)</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0.00</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0.00</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0.03</w:t>
            </w: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Children breastfed within 1 hour of birth (%)</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0.00</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0.02</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0.02</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Mothers receiving pre-natal visits (%)</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-0.04</w:t>
            </w: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0.00</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0.00</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Children receiving recommended vaccinations (WHO) (%)</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-0.13</w:t>
            </w: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-0.04</w:t>
            </w: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-0.02</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Dependency ratio</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0.08</w:t>
            </w: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0.10</w:t>
            </w: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0.04</w:t>
            </w: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-0.02</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Mothers currently working (%)</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-0.02</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0.05</w:t>
            </w:r>
            <w:r w:rsidRPr="00605984">
              <w:rPr>
                <w:color w:val="000000"/>
                <w:sz w:val="16"/>
                <w:szCs w:val="16"/>
                <w:vertAlign w:val="superscript"/>
              </w:rPr>
              <w:t>‡</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-0.03</w:t>
            </w:r>
            <w:r w:rsidRPr="00605984">
              <w:rPr>
                <w:color w:val="000000"/>
                <w:sz w:val="16"/>
                <w:szCs w:val="16"/>
                <w:vertAlign w:val="superscript"/>
              </w:rPr>
              <w:t>†</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Mothers attending any school (%)</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0.00</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0.00</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Fathers attending any school (%)</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0.03</w:t>
            </w: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0.02</w:t>
            </w:r>
            <w:r w:rsidRPr="00605984">
              <w:rPr>
                <w:color w:val="000000"/>
                <w:sz w:val="16"/>
                <w:szCs w:val="16"/>
                <w:vertAlign w:val="superscript"/>
              </w:rPr>
              <w:t>†</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-0.02</w:t>
            </w:r>
          </w:p>
        </w:tc>
      </w:tr>
      <w:tr w:rsidR="00605984" w:rsidRPr="00605984" w:rsidTr="00F20CEE">
        <w:trPr>
          <w:trHeight w:val="113"/>
          <w:jc w:val="center"/>
        </w:trPr>
        <w:tc>
          <w:tcPr>
            <w:tcW w:w="4541" w:type="dxa"/>
            <w:shd w:val="clear" w:color="auto" w:fill="auto"/>
            <w:noWrap/>
          </w:tcPr>
          <w:p w:rsidR="00605984" w:rsidRPr="00605984" w:rsidRDefault="00605984" w:rsidP="00F20CEE">
            <w:pPr>
              <w:spacing w:after="0" w:line="240" w:lineRule="auto"/>
              <w:rPr>
                <w:rFonts w:eastAsia="Calibri" w:cs="Times New Roman"/>
                <w:sz w:val="16"/>
                <w:szCs w:val="16"/>
              </w:rPr>
            </w:pPr>
            <w:r w:rsidRPr="00605984">
              <w:rPr>
                <w:rFonts w:eastAsia="Calibri" w:cs="Times New Roman"/>
                <w:sz w:val="16"/>
                <w:szCs w:val="16"/>
              </w:rPr>
              <w:t>Rural household (%)</w:t>
            </w:r>
          </w:p>
        </w:tc>
        <w:tc>
          <w:tcPr>
            <w:tcW w:w="846"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0.00</w:t>
            </w:r>
          </w:p>
        </w:tc>
        <w:tc>
          <w:tcPr>
            <w:tcW w:w="993"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c>
          <w:tcPr>
            <w:tcW w:w="992" w:type="dxa"/>
            <w:shd w:val="clear" w:color="auto" w:fill="auto"/>
            <w:noWrap/>
            <w:vAlign w:val="bottom"/>
          </w:tcPr>
          <w:p w:rsidR="00605984" w:rsidRPr="00605984" w:rsidRDefault="00605984" w:rsidP="00F20CEE">
            <w:pPr>
              <w:tabs>
                <w:tab w:val="decimal" w:pos="273"/>
              </w:tabs>
              <w:spacing w:after="0" w:line="240" w:lineRule="auto"/>
              <w:jc w:val="both"/>
              <w:rPr>
                <w:color w:val="000000"/>
                <w:sz w:val="16"/>
                <w:szCs w:val="16"/>
              </w:rPr>
            </w:pPr>
            <w:r w:rsidRPr="00605984">
              <w:rPr>
                <w:color w:val="000000"/>
                <w:sz w:val="16"/>
                <w:szCs w:val="16"/>
              </w:rPr>
              <w:t>-0.01</w:t>
            </w:r>
          </w:p>
        </w:tc>
      </w:tr>
    </w:tbl>
    <w:p w:rsidR="00605984" w:rsidRPr="00605984" w:rsidRDefault="00605984" w:rsidP="00605984">
      <w:pPr>
        <w:jc w:val="both"/>
        <w:rPr>
          <w:rFonts w:eastAsia="Calibri" w:cs="Times New Roman"/>
          <w:sz w:val="18"/>
        </w:rPr>
      </w:pPr>
      <w:r w:rsidRPr="00605984">
        <w:rPr>
          <w:rFonts w:eastAsia="Calibri" w:cs="Times New Roman"/>
          <w:sz w:val="18"/>
        </w:rPr>
        <w:t>Note: The superscript symbols † and ‡ respective indicate a 0.05 and 0.01 significance difference based on unweighted samples. Source: Surveys of 2000, 2005, 2010, 2014.</w:t>
      </w:r>
    </w:p>
    <w:p w:rsidR="00605984" w:rsidRDefault="00605984"/>
    <w:sectPr w:rsidR="00605984" w:rsidSect="0026614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C1"/>
    <w:rsid w:val="00266148"/>
    <w:rsid w:val="004A6D43"/>
    <w:rsid w:val="005E31FF"/>
    <w:rsid w:val="00605984"/>
    <w:rsid w:val="00642D4C"/>
    <w:rsid w:val="00CE11C1"/>
    <w:rsid w:val="00FF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C.S.Srinivasan</dc:creator>
  <cp:lastModifiedBy>C.S.Srinivasan</cp:lastModifiedBy>
  <cp:revision>3</cp:revision>
  <dcterms:created xsi:type="dcterms:W3CDTF">2016-07-13T12:50:00Z</dcterms:created>
  <dcterms:modified xsi:type="dcterms:W3CDTF">2016-09-02T13:33:00Z</dcterms:modified>
</cp:coreProperties>
</file>