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697D73">
        <w:rPr>
          <w:rFonts w:ascii="Times New Roman" w:hAnsi="Times New Roman"/>
          <w:b/>
          <w:sz w:val="24"/>
          <w:szCs w:val="24"/>
          <w:lang w:val="en-US"/>
        </w:rPr>
        <w:t>Supplementary Methods</w:t>
      </w:r>
    </w:p>
    <w:p w:rsidR="00E02EBF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rPr>
          <w:rFonts w:ascii="Times New Roman" w:hAnsi="Times New Roman"/>
          <w:b/>
          <w:sz w:val="24"/>
          <w:szCs w:val="24"/>
          <w:lang w:val="en-US"/>
        </w:rPr>
      </w:pPr>
    </w:p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Multivariable Model Building</w:t>
      </w:r>
    </w:p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jc w:val="both"/>
        <w:rPr>
          <w:rFonts w:ascii="Times New Roman" w:hAnsi="Times New Roman"/>
          <w:sz w:val="24"/>
          <w:szCs w:val="24"/>
          <w:lang w:val="en-US"/>
        </w:rPr>
      </w:pPr>
      <w:r w:rsidRPr="00697D73">
        <w:rPr>
          <w:rFonts w:ascii="Times New Roman" w:hAnsi="Times New Roman"/>
          <w:sz w:val="24"/>
          <w:szCs w:val="24"/>
          <w:lang w:val="en-US"/>
        </w:rPr>
        <w:t>Multivariable Cox regressions were used to analyze the prognostic value of the following potentially explanatory prognostic factors with respect to event-free survival</w:t>
      </w:r>
      <w:r w:rsidRPr="00077BF6">
        <w:rPr>
          <w:rFonts w:ascii="Times New Roman" w:hAnsi="Times New Roman"/>
          <w:sz w:val="24"/>
          <w:szCs w:val="24"/>
          <w:lang w:val="en-US"/>
        </w:rPr>
        <w:t xml:space="preserve"> (EFS) and overall survival (OS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/>
          <w:sz w:val="24"/>
          <w:szCs w:val="24"/>
          <w:lang w:val="en-US"/>
        </w:rPr>
        <w:t>ESC-SCORE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 (continuous), graded </w:t>
      </w:r>
      <w:r>
        <w:rPr>
          <w:rFonts w:ascii="Times New Roman" w:hAnsi="Times New Roman"/>
          <w:sz w:val="24"/>
          <w:szCs w:val="24"/>
          <w:lang w:val="en-US"/>
        </w:rPr>
        <w:t>ESC-SCORE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 (high v intermediate v low risk) and “Muenster Risk Stratification” (high v intermediate v low risk), as well as the potential risk factors listed in Table 3. </w:t>
      </w:r>
      <w:proofErr w:type="spellStart"/>
      <w:r w:rsidRPr="00697D73">
        <w:rPr>
          <w:rFonts w:ascii="Times New Roman" w:hAnsi="Times New Roman"/>
          <w:sz w:val="24"/>
          <w:szCs w:val="24"/>
          <w:lang w:val="en-US"/>
        </w:rPr>
        <w:t>Procam</w:t>
      </w:r>
      <w:proofErr w:type="spellEnd"/>
      <w:r w:rsidRPr="00697D73">
        <w:rPr>
          <w:rFonts w:ascii="Times New Roman" w:hAnsi="Times New Roman"/>
          <w:sz w:val="24"/>
          <w:szCs w:val="24"/>
          <w:lang w:val="en-US"/>
        </w:rPr>
        <w:t xml:space="preserve"> Health Score and Framingham Score were not included in multivariable analysis due to high percentage of missing values (66%).</w:t>
      </w:r>
    </w:p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jc w:val="both"/>
        <w:rPr>
          <w:rFonts w:ascii="Times New Roman" w:hAnsi="Times New Roman"/>
          <w:sz w:val="24"/>
          <w:szCs w:val="24"/>
          <w:lang w:val="en-US"/>
        </w:rPr>
      </w:pPr>
      <w:r w:rsidRPr="00697D73">
        <w:rPr>
          <w:rFonts w:ascii="Times New Roman" w:hAnsi="Times New Roman"/>
          <w:sz w:val="24"/>
          <w:szCs w:val="24"/>
          <w:lang w:val="en-US"/>
        </w:rPr>
        <w:t xml:space="preserve">Cox regression models were built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 a stepwise variable selection procedure recommended by Collet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REFMGR.CITE &lt;Refman&gt;&lt;Cite&gt;&lt;Author&gt;Collett&lt;/Author&gt;&lt;Year&gt;1994&lt;/Year&gt;&lt;RecNum&gt;23&lt;/RecNum&gt;&lt;IDText&gt;Strategy for model selection&lt;/IDText&gt;&lt;MDL Ref_Type="Book Chapter"&gt;&lt;Ref_Type&gt;Book Chapter&lt;/Ref_Type&gt;&lt;Ref_ID&gt;23&lt;/Ref_ID&gt;&lt;Title_Primary&gt;&lt;f name="Times New Roman"&gt;Strategy for model selection&lt;/f&gt;&lt;/Title_Primary&gt;&lt;Authors_Primary&gt;Collett,D&lt;/Authors_Primary&gt;&lt;Date_Primary&gt;1994/10/10&lt;/Date_Primary&gt;&lt;Reprint&gt;Not in File&lt;/Reprint&gt;&lt;Start_Page&gt;78&lt;/Start_Page&gt;&lt;End_Page&gt;83&lt;/End_Page&gt;&lt;Title_Secondary&gt;&lt;f name="Times New Roman"&gt;Modelling Survival Data in Medical Research&lt;/f&gt;&lt;/Title_Secondary&gt;&lt;Pub_Place&gt;London&lt;/Pub_Place&gt;&lt;Publisher&gt;Chapman &amp;amp; Hall&lt;/Publisher&gt;&lt;ZZ_WorkformID&gt;3&lt;/ZZ_WorkformID&gt;&lt;/MDL&gt;&lt;/Cite&gt;&lt;/Refman&gt;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(19)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 In the first step, all factors were tested in a </w:t>
      </w:r>
      <w:proofErr w:type="spellStart"/>
      <w:r w:rsidRPr="00697D73">
        <w:rPr>
          <w:rFonts w:ascii="Times New Roman" w:hAnsi="Times New Roman"/>
          <w:sz w:val="24"/>
          <w:szCs w:val="24"/>
          <w:lang w:val="en-US"/>
        </w:rPr>
        <w:t>univariable</w:t>
      </w:r>
      <w:proofErr w:type="spellEnd"/>
      <w:r w:rsidRPr="00697D73">
        <w:rPr>
          <w:rFonts w:ascii="Times New Roman" w:hAnsi="Times New Roman"/>
          <w:sz w:val="24"/>
          <w:szCs w:val="24"/>
          <w:lang w:val="en-US"/>
        </w:rPr>
        <w:t xml:space="preserve"> Cox regression one at a time. In step 2, all factors that appeared to be important in step 1 (</w:t>
      </w:r>
      <w:r>
        <w:rPr>
          <w:rFonts w:ascii="Times New Roman" w:hAnsi="Times New Roman"/>
          <w:sz w:val="24"/>
          <w:szCs w:val="24"/>
          <w:lang w:val="en-US"/>
        </w:rPr>
        <w:t>p-</w:t>
      </w:r>
      <w:r w:rsidRPr="00697D73">
        <w:rPr>
          <w:rFonts w:ascii="Times New Roman" w:hAnsi="Times New Roman"/>
          <w:sz w:val="24"/>
          <w:szCs w:val="24"/>
          <w:lang w:val="en-US"/>
        </w:rPr>
        <w:t>value of the likelihood ratio test ≤ .1) were fitted together by a stepwise backward selection of a multivariable Cox regression (</w:t>
      </w:r>
      <w:r>
        <w:rPr>
          <w:rFonts w:ascii="Times New Roman" w:hAnsi="Times New Roman"/>
          <w:sz w:val="24"/>
          <w:szCs w:val="24"/>
          <w:lang w:val="en-US"/>
        </w:rPr>
        <w:t>p-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value of the likelihood ratio test &gt; .1 as exclusion criterion). In step 3, all factors that were not important in step 2 were added to the model of step 2, one at a time, to test their prognostic impact. The </w:t>
      </w:r>
      <w:proofErr w:type="spellStart"/>
      <w:r w:rsidRPr="00697D73">
        <w:rPr>
          <w:rFonts w:ascii="Times New Roman" w:hAnsi="Times New Roman"/>
          <w:sz w:val="24"/>
          <w:szCs w:val="24"/>
          <w:lang w:val="en-US"/>
        </w:rPr>
        <w:t>Collett</w:t>
      </w:r>
      <w:proofErr w:type="spellEnd"/>
      <w:r w:rsidRPr="00697D73">
        <w:rPr>
          <w:rFonts w:ascii="Times New Roman" w:hAnsi="Times New Roman"/>
          <w:sz w:val="24"/>
          <w:szCs w:val="24"/>
          <w:lang w:val="en-US"/>
        </w:rPr>
        <w:t xml:space="preserve"> procedure stopped at that stage. Finally, the factors of model 3 with all pair-wise interactions were fitted in a stepwise backward selection (</w:t>
      </w:r>
      <w:r>
        <w:rPr>
          <w:rFonts w:ascii="Times New Roman" w:hAnsi="Times New Roman"/>
          <w:sz w:val="24"/>
          <w:szCs w:val="24"/>
          <w:lang w:val="en-US"/>
        </w:rPr>
        <w:t>p-</w:t>
      </w:r>
      <w:r w:rsidRPr="00697D73">
        <w:rPr>
          <w:rFonts w:ascii="Times New Roman" w:hAnsi="Times New Roman"/>
          <w:sz w:val="24"/>
          <w:szCs w:val="24"/>
          <w:lang w:val="en-US"/>
        </w:rPr>
        <w:t>value of the likelihood ratio test &gt; .1 as exclusion criterion).</w:t>
      </w:r>
    </w:p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2EBF" w:rsidRPr="00697D73" w:rsidRDefault="00E02EBF" w:rsidP="00E02EBF">
      <w:pPr>
        <w:tabs>
          <w:tab w:val="right" w:pos="540"/>
          <w:tab w:val="left" w:pos="720"/>
        </w:tabs>
        <w:spacing w:after="0" w:line="480" w:lineRule="auto"/>
        <w:ind w:right="-285"/>
        <w:jc w:val="both"/>
        <w:rPr>
          <w:rFonts w:ascii="Times New Roman" w:hAnsi="Times New Roman"/>
          <w:sz w:val="24"/>
          <w:szCs w:val="24"/>
          <w:lang w:val="en-US"/>
        </w:rPr>
      </w:pPr>
      <w:r w:rsidRPr="00697D73">
        <w:rPr>
          <w:rFonts w:ascii="Times New Roman" w:hAnsi="Times New Roman"/>
          <w:sz w:val="24"/>
          <w:szCs w:val="24"/>
          <w:lang w:val="en-US"/>
        </w:rPr>
        <w:t xml:space="preserve">In addition, a multivariable Cox regression (stepwise forward selection) was applied for the total cohort, including the three risk scores </w:t>
      </w:r>
      <w:r>
        <w:rPr>
          <w:rFonts w:ascii="Times New Roman" w:hAnsi="Times New Roman"/>
          <w:sz w:val="24"/>
          <w:szCs w:val="24"/>
          <w:lang w:val="en-US"/>
        </w:rPr>
        <w:t xml:space="preserve">ESC-SCORE </w:t>
      </w:r>
      <w:r w:rsidRPr="00697D73">
        <w:rPr>
          <w:rFonts w:ascii="Times New Roman" w:hAnsi="Times New Roman"/>
          <w:sz w:val="24"/>
          <w:szCs w:val="24"/>
          <w:lang w:val="en-US"/>
        </w:rPr>
        <w:t xml:space="preserve">(continuous), graded </w:t>
      </w:r>
      <w:r>
        <w:rPr>
          <w:rFonts w:ascii="Times New Roman" w:hAnsi="Times New Roman"/>
          <w:sz w:val="24"/>
          <w:szCs w:val="24"/>
          <w:lang w:val="en-US"/>
        </w:rPr>
        <w:t xml:space="preserve">ESC-SCORE </w:t>
      </w:r>
      <w:r w:rsidRPr="00697D73">
        <w:rPr>
          <w:rFonts w:ascii="Times New Roman" w:hAnsi="Times New Roman"/>
          <w:sz w:val="24"/>
          <w:szCs w:val="24"/>
          <w:lang w:val="en-US"/>
        </w:rPr>
        <w:t>(high v intermediate v low risk as reference) and “Muenster Risk Stratification” (high v intermediate v low risk as reference), in order to compare performance of the risk scores.</w:t>
      </w:r>
    </w:p>
    <w:sectPr w:rsidR="00E02EBF" w:rsidRPr="00697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F"/>
    <w:rsid w:val="00BE5F0D"/>
    <w:rsid w:val="00D52C1B"/>
    <w:rsid w:val="00E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EB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EB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EB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EB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Reuter, Stefan</dc:creator>
  <cp:lastModifiedBy>Reuter, Stefan</cp:lastModifiedBy>
  <cp:revision>2</cp:revision>
  <dcterms:created xsi:type="dcterms:W3CDTF">2016-08-23T15:30:00Z</dcterms:created>
  <dcterms:modified xsi:type="dcterms:W3CDTF">2016-08-23T15:30:00Z</dcterms:modified>
</cp:coreProperties>
</file>