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09" w:rsidRDefault="00BE5309" w:rsidP="000463A9">
      <w:pPr>
        <w:spacing w:line="400" w:lineRule="exact"/>
        <w:outlineLvl w:val="0"/>
        <w:rPr>
          <w:rFonts w:ascii="Times New Roman" w:hAnsi="Times New Roman" w:cs="Times New Roman"/>
        </w:rPr>
      </w:pPr>
      <w:r w:rsidRPr="00F32DE5">
        <w:rPr>
          <w:rFonts w:ascii="Times New Roman" w:hAnsi="Times New Roman" w:cs="Times New Roman"/>
          <w:b/>
          <w:bCs/>
        </w:rPr>
        <w:t>S</w:t>
      </w:r>
      <w:r w:rsidR="005D48D7">
        <w:rPr>
          <w:rFonts w:ascii="Times New Roman" w:hAnsi="Times New Roman" w:cs="Times New Roman" w:hint="eastAsia"/>
          <w:b/>
          <w:bCs/>
        </w:rPr>
        <w:t>7</w:t>
      </w:r>
      <w:r w:rsidR="005D48D7">
        <w:rPr>
          <w:rFonts w:ascii="Times New Roman" w:hAnsi="Times New Roman" w:cs="Times New Roman"/>
          <w:b/>
          <w:bCs/>
        </w:rPr>
        <w:t xml:space="preserve"> Table</w:t>
      </w:r>
      <w:bookmarkStart w:id="0" w:name="_GoBack"/>
      <w:bookmarkEnd w:id="0"/>
      <w:r w:rsidRPr="00F32DE5">
        <w:rPr>
          <w:rFonts w:ascii="Times New Roman" w:hAnsi="Times New Roman" w:cs="Times New Roman"/>
          <w:b/>
          <w:bCs/>
        </w:rPr>
        <w:t xml:space="preserve">. Reference of </w:t>
      </w:r>
      <w:r w:rsidRPr="00F32DE5">
        <w:rPr>
          <w:rFonts w:ascii="Times New Roman" w:hAnsi="Times New Roman" w:cs="Times New Roman"/>
          <w:b/>
        </w:rPr>
        <w:t>mRNA expression profile in cancer</w:t>
      </w:r>
      <w:r w:rsidR="006E1820">
        <w:rPr>
          <w:rFonts w:ascii="Times New Roman" w:hAnsi="Times New Roman" w:cs="Times New Roman" w:hint="eastAsia"/>
          <w:b/>
        </w:rPr>
        <w:t>s</w:t>
      </w:r>
      <w:r w:rsidRPr="00F32DE5">
        <w:rPr>
          <w:rFonts w:ascii="Times New Roman" w:hAnsi="Times New Roman" w:cs="Times New Roman"/>
          <w:b/>
        </w:rPr>
        <w:t xml:space="preserve"> generated from </w:t>
      </w:r>
      <w:r w:rsidR="00621E99">
        <w:rPr>
          <w:rFonts w:ascii="Times New Roman" w:hAnsi="Times New Roman" w:cs="Times New Roman" w:hint="eastAsia"/>
          <w:b/>
        </w:rPr>
        <w:t>Oncomine</w:t>
      </w:r>
      <w:r w:rsidRPr="00F32DE5">
        <w:rPr>
          <w:rFonts w:ascii="Times New Roman" w:hAnsi="Times New Roman" w:cs="Times New Roman"/>
          <w:b/>
        </w:rPr>
        <w:t xml:space="preserve"> (Table 1</w:t>
      </w:r>
      <w:r w:rsidR="00A60BA4">
        <w:rPr>
          <w:rFonts w:ascii="Times New Roman" w:hAnsi="Times New Roman" w:cs="Times New Roman" w:hint="eastAsia"/>
          <w:b/>
        </w:rPr>
        <w:t xml:space="preserve"> and </w:t>
      </w:r>
      <w:r w:rsidR="00A60BA4" w:rsidRPr="00F32DE5">
        <w:rPr>
          <w:rFonts w:ascii="Times New Roman" w:hAnsi="Times New Roman" w:cs="Times New Roman"/>
          <w:b/>
          <w:bCs/>
        </w:rPr>
        <w:t>S</w:t>
      </w:r>
      <w:r w:rsidR="006E1820">
        <w:rPr>
          <w:rFonts w:ascii="Times New Roman" w:hAnsi="Times New Roman" w:cs="Times New Roman" w:hint="eastAsia"/>
          <w:b/>
          <w:bCs/>
        </w:rPr>
        <w:t>1-4</w:t>
      </w:r>
      <w:r w:rsidR="006E1820">
        <w:rPr>
          <w:rFonts w:ascii="Times New Roman" w:hAnsi="Times New Roman" w:cs="Times New Roman"/>
          <w:b/>
          <w:bCs/>
        </w:rPr>
        <w:t xml:space="preserve"> Table</w:t>
      </w:r>
      <w:r w:rsidR="006E1820">
        <w:rPr>
          <w:rFonts w:ascii="Times New Roman" w:hAnsi="Times New Roman" w:cs="Times New Roman" w:hint="eastAsia"/>
          <w:b/>
          <w:bCs/>
        </w:rPr>
        <w:t>s</w:t>
      </w:r>
      <w:r w:rsidRPr="00F32DE5">
        <w:rPr>
          <w:rFonts w:ascii="Times New Roman" w:hAnsi="Times New Roman" w:cs="Times New Roman"/>
          <w:b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6639"/>
      </w:tblGrid>
      <w:tr w:rsidR="0007125B" w:rsidRPr="007C16E5" w:rsidTr="00220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tcBorders>
              <w:right w:val="single" w:sz="8" w:space="0" w:color="FFFFFF" w:themeColor="background1"/>
            </w:tcBorders>
            <w:shd w:val="clear" w:color="auto" w:fill="262626" w:themeFill="text1" w:themeFillTint="D9"/>
          </w:tcPr>
          <w:p w:rsidR="0007125B" w:rsidRPr="00220C23" w:rsidRDefault="0007125B" w:rsidP="000463A9">
            <w:pPr>
              <w:spacing w:line="400" w:lineRule="exact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 w:rsidRPr="00220C23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Dataset</w:t>
            </w:r>
          </w:p>
        </w:tc>
        <w:tc>
          <w:tcPr>
            <w:tcW w:w="6803" w:type="dxa"/>
            <w:tcBorders>
              <w:left w:val="single" w:sz="8" w:space="0" w:color="FFFFFF" w:themeColor="background1"/>
            </w:tcBorders>
            <w:shd w:val="clear" w:color="auto" w:fill="262626" w:themeFill="text1" w:themeFillTint="D9"/>
          </w:tcPr>
          <w:p w:rsidR="0007125B" w:rsidRPr="00220C23" w:rsidRDefault="0007125B" w:rsidP="000463A9">
            <w:pPr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 w:rsidRPr="00220C23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Reference</w:t>
            </w:r>
            <w:r w:rsidRPr="00220C23">
              <w:rPr>
                <w:rFonts w:ascii="Times New Roman" w:hAnsi="Times New Roman" w:cs="Times New Roman" w:hint="eastAsia"/>
                <w:color w:val="FFFFFF" w:themeColor="background1"/>
                <w:sz w:val="20"/>
                <w:szCs w:val="24"/>
              </w:rPr>
              <w:t>s</w:t>
            </w:r>
          </w:p>
        </w:tc>
      </w:tr>
      <w:tr w:rsidR="0007125B" w:rsidRPr="007C16E5" w:rsidTr="0007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07125B" w:rsidRPr="0007125B" w:rsidRDefault="0007125B" w:rsidP="000463A9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0712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Bhattacharjee</w:t>
            </w:r>
            <w:proofErr w:type="spellEnd"/>
          </w:p>
        </w:tc>
        <w:tc>
          <w:tcPr>
            <w:tcW w:w="6803" w:type="dxa"/>
          </w:tcPr>
          <w:p w:rsidR="0007125B" w:rsidRPr="004F0192" w:rsidRDefault="0007125B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F0192">
              <w:rPr>
                <w:sz w:val="20"/>
                <w:szCs w:val="20"/>
              </w:rPr>
              <w:t>Bhattacharjee</w:t>
            </w:r>
            <w:proofErr w:type="spellEnd"/>
            <w:r w:rsidRPr="004F0192">
              <w:rPr>
                <w:sz w:val="20"/>
                <w:szCs w:val="20"/>
              </w:rPr>
              <w:t xml:space="preserve"> A, Richards WG, Staunton J, Li C, Monti S, Vasa P, et al. Classification of human lung carcinomas by mRNA expression profiling reveals distinct adenocarcinoma subclasses. </w:t>
            </w:r>
            <w:r w:rsidR="00621E99" w:rsidRPr="004F0192">
              <w:rPr>
                <w:sz w:val="20"/>
                <w:szCs w:val="20"/>
              </w:rPr>
              <w:t xml:space="preserve">Proc Natl </w:t>
            </w:r>
            <w:proofErr w:type="spellStart"/>
            <w:r w:rsidR="00621E99" w:rsidRPr="004F0192">
              <w:rPr>
                <w:sz w:val="20"/>
                <w:szCs w:val="20"/>
              </w:rPr>
              <w:t>Acad</w:t>
            </w:r>
            <w:proofErr w:type="spellEnd"/>
            <w:r w:rsidR="00621E99" w:rsidRPr="004F0192">
              <w:rPr>
                <w:sz w:val="20"/>
                <w:szCs w:val="20"/>
              </w:rPr>
              <w:t xml:space="preserve"> </w:t>
            </w:r>
            <w:proofErr w:type="spellStart"/>
            <w:r w:rsidR="00621E99" w:rsidRPr="004F0192">
              <w:rPr>
                <w:sz w:val="20"/>
                <w:szCs w:val="20"/>
              </w:rPr>
              <w:t>Sci</w:t>
            </w:r>
            <w:proofErr w:type="spellEnd"/>
            <w:r w:rsidR="00621E99" w:rsidRPr="004F0192">
              <w:rPr>
                <w:sz w:val="20"/>
                <w:szCs w:val="20"/>
              </w:rPr>
              <w:t xml:space="preserve"> U S A</w:t>
            </w:r>
            <w:r w:rsidRPr="004F0192">
              <w:rPr>
                <w:sz w:val="20"/>
                <w:szCs w:val="20"/>
              </w:rPr>
              <w:t>. 2001</w:t>
            </w:r>
            <w:proofErr w:type="gramStart"/>
            <w:r w:rsidRPr="004F0192">
              <w:rPr>
                <w:sz w:val="20"/>
                <w:szCs w:val="20"/>
              </w:rPr>
              <w:t>;98</w:t>
            </w:r>
            <w:proofErr w:type="gramEnd"/>
            <w:r w:rsidRPr="004F0192">
              <w:rPr>
                <w:sz w:val="20"/>
                <w:szCs w:val="20"/>
              </w:rPr>
              <w:t>(24):13790-5.</w:t>
            </w:r>
          </w:p>
        </w:tc>
      </w:tr>
      <w:tr w:rsidR="0007125B" w:rsidRPr="007C16E5" w:rsidTr="00071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07125B" w:rsidRPr="0007125B" w:rsidRDefault="0007125B" w:rsidP="000463A9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0712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Landi</w:t>
            </w:r>
            <w:proofErr w:type="spellEnd"/>
          </w:p>
        </w:tc>
        <w:tc>
          <w:tcPr>
            <w:tcW w:w="6803" w:type="dxa"/>
          </w:tcPr>
          <w:p w:rsidR="0007125B" w:rsidRPr="004F0192" w:rsidRDefault="0007125B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F0192">
              <w:rPr>
                <w:sz w:val="20"/>
                <w:szCs w:val="20"/>
              </w:rPr>
              <w:t>Landi</w:t>
            </w:r>
            <w:proofErr w:type="spellEnd"/>
            <w:r w:rsidRPr="004F0192">
              <w:rPr>
                <w:sz w:val="20"/>
                <w:szCs w:val="20"/>
              </w:rPr>
              <w:t xml:space="preserve"> MT, </w:t>
            </w:r>
            <w:proofErr w:type="spellStart"/>
            <w:r w:rsidRPr="004F0192">
              <w:rPr>
                <w:sz w:val="20"/>
                <w:szCs w:val="20"/>
              </w:rPr>
              <w:t>Dracheva</w:t>
            </w:r>
            <w:proofErr w:type="spellEnd"/>
            <w:r w:rsidRPr="004F0192">
              <w:rPr>
                <w:sz w:val="20"/>
                <w:szCs w:val="20"/>
              </w:rPr>
              <w:t xml:space="preserve"> T, </w:t>
            </w:r>
            <w:proofErr w:type="spellStart"/>
            <w:r w:rsidRPr="004F0192">
              <w:rPr>
                <w:sz w:val="20"/>
                <w:szCs w:val="20"/>
              </w:rPr>
              <w:t>Rotunno</w:t>
            </w:r>
            <w:proofErr w:type="spellEnd"/>
            <w:r w:rsidRPr="004F0192">
              <w:rPr>
                <w:sz w:val="20"/>
                <w:szCs w:val="20"/>
              </w:rPr>
              <w:t xml:space="preserve"> M, Figueroa JD, Liu H, </w:t>
            </w:r>
            <w:proofErr w:type="spellStart"/>
            <w:r w:rsidRPr="004F0192">
              <w:rPr>
                <w:sz w:val="20"/>
                <w:szCs w:val="20"/>
              </w:rPr>
              <w:t>Dasgupta</w:t>
            </w:r>
            <w:proofErr w:type="spellEnd"/>
            <w:r w:rsidRPr="004F0192">
              <w:rPr>
                <w:sz w:val="20"/>
                <w:szCs w:val="20"/>
              </w:rPr>
              <w:t xml:space="preserve"> A, et al. Gene expression signature of cigarette smoking and its role in lung adenocarcinoma development and survival. </w:t>
            </w:r>
            <w:proofErr w:type="spellStart"/>
            <w:r w:rsidRPr="004F0192">
              <w:rPr>
                <w:sz w:val="20"/>
                <w:szCs w:val="20"/>
              </w:rPr>
              <w:t>PloS</w:t>
            </w:r>
            <w:proofErr w:type="spellEnd"/>
            <w:r w:rsidRPr="004F0192">
              <w:rPr>
                <w:sz w:val="20"/>
                <w:szCs w:val="20"/>
              </w:rPr>
              <w:t xml:space="preserve"> one. 2008</w:t>
            </w:r>
            <w:proofErr w:type="gramStart"/>
            <w:r w:rsidRPr="004F0192">
              <w:rPr>
                <w:sz w:val="20"/>
                <w:szCs w:val="20"/>
              </w:rPr>
              <w:t>;3</w:t>
            </w:r>
            <w:proofErr w:type="gramEnd"/>
            <w:r w:rsidRPr="004F0192">
              <w:rPr>
                <w:sz w:val="20"/>
                <w:szCs w:val="20"/>
              </w:rPr>
              <w:t>(2):e1651.</w:t>
            </w:r>
          </w:p>
        </w:tc>
      </w:tr>
      <w:tr w:rsidR="0007125B" w:rsidRPr="007C16E5" w:rsidTr="0007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07125B" w:rsidRPr="0007125B" w:rsidRDefault="0007125B" w:rsidP="000463A9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712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Su</w:t>
            </w:r>
          </w:p>
        </w:tc>
        <w:tc>
          <w:tcPr>
            <w:tcW w:w="6803" w:type="dxa"/>
          </w:tcPr>
          <w:p w:rsidR="0007125B" w:rsidRPr="004F0192" w:rsidRDefault="0007125B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192">
              <w:rPr>
                <w:sz w:val="20"/>
                <w:szCs w:val="20"/>
              </w:rPr>
              <w:t>Su LJ, Chang CW, Wu YC, Chen KC, Lin CJ, Liang SC, et al. Selection of DDX5 as a novel internal control for Q-RT-PCR from microarray data using a block bootstrap re-sampling scheme. BMC genomics. 2007</w:t>
            </w:r>
            <w:proofErr w:type="gramStart"/>
            <w:r w:rsidRPr="004F0192">
              <w:rPr>
                <w:sz w:val="20"/>
                <w:szCs w:val="20"/>
              </w:rPr>
              <w:t>;8:140</w:t>
            </w:r>
            <w:proofErr w:type="gramEnd"/>
            <w:r w:rsidRPr="004F0192">
              <w:rPr>
                <w:sz w:val="20"/>
                <w:szCs w:val="20"/>
              </w:rPr>
              <w:t>.</w:t>
            </w:r>
          </w:p>
        </w:tc>
      </w:tr>
      <w:tr w:rsidR="0007125B" w:rsidRPr="007C16E5" w:rsidTr="00071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07125B" w:rsidRPr="0007125B" w:rsidRDefault="0007125B" w:rsidP="000463A9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0712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Selamat</w:t>
            </w:r>
            <w:proofErr w:type="spellEnd"/>
          </w:p>
        </w:tc>
        <w:tc>
          <w:tcPr>
            <w:tcW w:w="6803" w:type="dxa"/>
          </w:tcPr>
          <w:p w:rsidR="0007125B" w:rsidRPr="004F0192" w:rsidRDefault="0007125B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F0192">
              <w:rPr>
                <w:sz w:val="20"/>
                <w:szCs w:val="20"/>
              </w:rPr>
              <w:t>Selamat</w:t>
            </w:r>
            <w:proofErr w:type="spellEnd"/>
            <w:r w:rsidRPr="004F0192">
              <w:rPr>
                <w:sz w:val="20"/>
                <w:szCs w:val="20"/>
              </w:rPr>
              <w:t xml:space="preserve"> SA, Chung BS, Girard L, Zhang W, Zhang Y, </w:t>
            </w:r>
            <w:proofErr w:type="spellStart"/>
            <w:r w:rsidRPr="004F0192">
              <w:rPr>
                <w:sz w:val="20"/>
                <w:szCs w:val="20"/>
              </w:rPr>
              <w:t>Campan</w:t>
            </w:r>
            <w:proofErr w:type="spellEnd"/>
            <w:r w:rsidRPr="004F0192">
              <w:rPr>
                <w:sz w:val="20"/>
                <w:szCs w:val="20"/>
              </w:rPr>
              <w:t xml:space="preserve"> M, et al. Genome-scale analysis of DNA methylation in lung adenocarcinoma and integration with mRNA expression. Genome </w:t>
            </w:r>
            <w:r w:rsidR="00621E99" w:rsidRPr="004F0192">
              <w:rPr>
                <w:sz w:val="20"/>
                <w:szCs w:val="20"/>
              </w:rPr>
              <w:t>Res</w:t>
            </w:r>
            <w:r w:rsidRPr="004F0192">
              <w:rPr>
                <w:sz w:val="20"/>
                <w:szCs w:val="20"/>
              </w:rPr>
              <w:t>. 2012</w:t>
            </w:r>
            <w:proofErr w:type="gramStart"/>
            <w:r w:rsidRPr="004F0192">
              <w:rPr>
                <w:sz w:val="20"/>
                <w:szCs w:val="20"/>
              </w:rPr>
              <w:t>;22</w:t>
            </w:r>
            <w:proofErr w:type="gramEnd"/>
            <w:r w:rsidRPr="004F0192">
              <w:rPr>
                <w:sz w:val="20"/>
                <w:szCs w:val="20"/>
              </w:rPr>
              <w:t>(7):1197-211.</w:t>
            </w:r>
          </w:p>
        </w:tc>
      </w:tr>
      <w:tr w:rsidR="0007125B" w:rsidRPr="007C16E5" w:rsidTr="0007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07125B" w:rsidRPr="0007125B" w:rsidRDefault="0007125B" w:rsidP="000463A9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0712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Stearman</w:t>
            </w:r>
            <w:proofErr w:type="spellEnd"/>
          </w:p>
        </w:tc>
        <w:tc>
          <w:tcPr>
            <w:tcW w:w="6803" w:type="dxa"/>
          </w:tcPr>
          <w:p w:rsidR="0007125B" w:rsidRPr="004F0192" w:rsidRDefault="0007125B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F0192">
              <w:rPr>
                <w:sz w:val="20"/>
                <w:szCs w:val="20"/>
              </w:rPr>
              <w:t>Stearman</w:t>
            </w:r>
            <w:proofErr w:type="spellEnd"/>
            <w:r w:rsidRPr="004F0192">
              <w:rPr>
                <w:sz w:val="20"/>
                <w:szCs w:val="20"/>
              </w:rPr>
              <w:t xml:space="preserve"> RS, Dwyer-</w:t>
            </w:r>
            <w:proofErr w:type="spellStart"/>
            <w:r w:rsidRPr="004F0192">
              <w:rPr>
                <w:sz w:val="20"/>
                <w:szCs w:val="20"/>
              </w:rPr>
              <w:t>Nield</w:t>
            </w:r>
            <w:proofErr w:type="spellEnd"/>
            <w:r w:rsidRPr="004F0192">
              <w:rPr>
                <w:sz w:val="20"/>
                <w:szCs w:val="20"/>
              </w:rPr>
              <w:t xml:space="preserve"> L, </w:t>
            </w:r>
            <w:proofErr w:type="spellStart"/>
            <w:r w:rsidRPr="004F0192">
              <w:rPr>
                <w:sz w:val="20"/>
                <w:szCs w:val="20"/>
              </w:rPr>
              <w:t>Zerbe</w:t>
            </w:r>
            <w:proofErr w:type="spellEnd"/>
            <w:r w:rsidRPr="004F0192">
              <w:rPr>
                <w:sz w:val="20"/>
                <w:szCs w:val="20"/>
              </w:rPr>
              <w:t xml:space="preserve"> L, Blaine SA, Chan Z, Bunn PA, Jr., et al. Analysis of orthologous gene expression between human pulmonary adenocarcinoma and a carcinogen-induced murine model. </w:t>
            </w:r>
            <w:r w:rsidR="00621E99" w:rsidRPr="004F0192">
              <w:rPr>
                <w:sz w:val="20"/>
                <w:szCs w:val="20"/>
              </w:rPr>
              <w:t xml:space="preserve">Am J </w:t>
            </w:r>
            <w:proofErr w:type="spellStart"/>
            <w:r w:rsidR="00621E99" w:rsidRPr="004F0192">
              <w:rPr>
                <w:sz w:val="20"/>
                <w:szCs w:val="20"/>
              </w:rPr>
              <w:t>Pathol</w:t>
            </w:r>
            <w:proofErr w:type="spellEnd"/>
            <w:r w:rsidRPr="004F0192">
              <w:rPr>
                <w:sz w:val="20"/>
                <w:szCs w:val="20"/>
              </w:rPr>
              <w:t>. 2005</w:t>
            </w:r>
            <w:proofErr w:type="gramStart"/>
            <w:r w:rsidRPr="004F0192">
              <w:rPr>
                <w:sz w:val="20"/>
                <w:szCs w:val="20"/>
              </w:rPr>
              <w:t>;167</w:t>
            </w:r>
            <w:proofErr w:type="gramEnd"/>
            <w:r w:rsidRPr="004F0192">
              <w:rPr>
                <w:sz w:val="20"/>
                <w:szCs w:val="20"/>
              </w:rPr>
              <w:t>(6):1763-75.</w:t>
            </w:r>
          </w:p>
        </w:tc>
      </w:tr>
      <w:tr w:rsidR="0007125B" w:rsidRPr="007C16E5" w:rsidTr="00071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07125B" w:rsidRPr="0007125B" w:rsidRDefault="0007125B" w:rsidP="000463A9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0712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Hou</w:t>
            </w:r>
            <w:proofErr w:type="spellEnd"/>
          </w:p>
        </w:tc>
        <w:tc>
          <w:tcPr>
            <w:tcW w:w="6803" w:type="dxa"/>
          </w:tcPr>
          <w:p w:rsidR="0007125B" w:rsidRPr="004F0192" w:rsidRDefault="0007125B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4F0192">
              <w:rPr>
                <w:sz w:val="20"/>
                <w:szCs w:val="20"/>
              </w:rPr>
              <w:t>Hou</w:t>
            </w:r>
            <w:proofErr w:type="spellEnd"/>
            <w:r w:rsidRPr="004F0192">
              <w:rPr>
                <w:sz w:val="20"/>
                <w:szCs w:val="20"/>
              </w:rPr>
              <w:t xml:space="preserve"> J, </w:t>
            </w:r>
            <w:proofErr w:type="spellStart"/>
            <w:r w:rsidRPr="004F0192">
              <w:rPr>
                <w:sz w:val="20"/>
                <w:szCs w:val="20"/>
              </w:rPr>
              <w:t>Aerts</w:t>
            </w:r>
            <w:proofErr w:type="spellEnd"/>
            <w:r w:rsidRPr="004F0192">
              <w:rPr>
                <w:sz w:val="20"/>
                <w:szCs w:val="20"/>
              </w:rPr>
              <w:t xml:space="preserve"> J, den Hamer B, van </w:t>
            </w:r>
            <w:proofErr w:type="spellStart"/>
            <w:r w:rsidRPr="004F0192">
              <w:rPr>
                <w:sz w:val="20"/>
                <w:szCs w:val="20"/>
              </w:rPr>
              <w:t>Ijcken</w:t>
            </w:r>
            <w:proofErr w:type="spellEnd"/>
            <w:r w:rsidRPr="004F0192">
              <w:rPr>
                <w:sz w:val="20"/>
                <w:szCs w:val="20"/>
              </w:rPr>
              <w:t xml:space="preserve"> W, den Bakker M, </w:t>
            </w:r>
            <w:proofErr w:type="spellStart"/>
            <w:r w:rsidRPr="004F0192">
              <w:rPr>
                <w:sz w:val="20"/>
                <w:szCs w:val="20"/>
              </w:rPr>
              <w:t>Riegman</w:t>
            </w:r>
            <w:proofErr w:type="spellEnd"/>
            <w:r w:rsidRPr="004F0192">
              <w:rPr>
                <w:sz w:val="20"/>
                <w:szCs w:val="20"/>
              </w:rPr>
              <w:t xml:space="preserve"> P, et al. Gene expression-based classification of non-small cell lung carcinomas and survival prediction. </w:t>
            </w:r>
            <w:proofErr w:type="spellStart"/>
            <w:r w:rsidRPr="004F0192">
              <w:rPr>
                <w:sz w:val="20"/>
                <w:szCs w:val="20"/>
              </w:rPr>
              <w:t>PloS</w:t>
            </w:r>
            <w:proofErr w:type="spellEnd"/>
            <w:r w:rsidRPr="004F0192">
              <w:rPr>
                <w:sz w:val="20"/>
                <w:szCs w:val="20"/>
              </w:rPr>
              <w:t xml:space="preserve"> one. 2010</w:t>
            </w:r>
            <w:proofErr w:type="gramStart"/>
            <w:r w:rsidRPr="004F0192">
              <w:rPr>
                <w:sz w:val="20"/>
                <w:szCs w:val="20"/>
              </w:rPr>
              <w:t>;5</w:t>
            </w:r>
            <w:proofErr w:type="gramEnd"/>
            <w:r w:rsidRPr="004F0192">
              <w:rPr>
                <w:sz w:val="20"/>
                <w:szCs w:val="20"/>
              </w:rPr>
              <w:t>(4):e10312.</w:t>
            </w:r>
          </w:p>
        </w:tc>
      </w:tr>
      <w:tr w:rsidR="0007125B" w:rsidRPr="007C16E5" w:rsidTr="00071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07125B" w:rsidRPr="0007125B" w:rsidRDefault="0007125B" w:rsidP="000463A9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712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Wei</w:t>
            </w:r>
          </w:p>
        </w:tc>
        <w:tc>
          <w:tcPr>
            <w:tcW w:w="6803" w:type="dxa"/>
          </w:tcPr>
          <w:p w:rsidR="0007125B" w:rsidRPr="004F0192" w:rsidRDefault="0007125B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192">
              <w:rPr>
                <w:sz w:val="20"/>
                <w:szCs w:val="20"/>
              </w:rPr>
              <w:t xml:space="preserve">Wei TY, Juan CC, </w:t>
            </w:r>
            <w:proofErr w:type="spellStart"/>
            <w:r w:rsidRPr="004F0192">
              <w:rPr>
                <w:sz w:val="20"/>
                <w:szCs w:val="20"/>
              </w:rPr>
              <w:t>Hisa</w:t>
            </w:r>
            <w:proofErr w:type="spellEnd"/>
            <w:r w:rsidRPr="004F0192">
              <w:rPr>
                <w:sz w:val="20"/>
                <w:szCs w:val="20"/>
              </w:rPr>
              <w:t xml:space="preserve"> JY, Su LJ, Lee YC, Chou HY, et al. Protein arginine methyltransferase 5 is a potential </w:t>
            </w:r>
            <w:proofErr w:type="spellStart"/>
            <w:r w:rsidRPr="004F0192">
              <w:rPr>
                <w:sz w:val="20"/>
                <w:szCs w:val="20"/>
              </w:rPr>
              <w:t>oncoprotein</w:t>
            </w:r>
            <w:proofErr w:type="spellEnd"/>
            <w:r w:rsidRPr="004F0192">
              <w:rPr>
                <w:sz w:val="20"/>
                <w:szCs w:val="20"/>
              </w:rPr>
              <w:t xml:space="preserve"> that upregulates G1 cyclins/cyclin-dependent kinases and the phosphoinositide 3-kinase/AKT signaling cascade. Cancer </w:t>
            </w:r>
            <w:r w:rsidR="00621E99" w:rsidRPr="004F0192">
              <w:rPr>
                <w:sz w:val="20"/>
                <w:szCs w:val="20"/>
              </w:rPr>
              <w:t>S</w:t>
            </w:r>
            <w:r w:rsidRPr="004F0192">
              <w:rPr>
                <w:sz w:val="20"/>
                <w:szCs w:val="20"/>
              </w:rPr>
              <w:t>ci. 2012</w:t>
            </w:r>
            <w:proofErr w:type="gramStart"/>
            <w:r w:rsidRPr="004F0192">
              <w:rPr>
                <w:sz w:val="20"/>
                <w:szCs w:val="20"/>
              </w:rPr>
              <w:t>;103</w:t>
            </w:r>
            <w:proofErr w:type="gramEnd"/>
            <w:r w:rsidRPr="004F0192">
              <w:rPr>
                <w:sz w:val="20"/>
                <w:szCs w:val="20"/>
              </w:rPr>
              <w:t>(9):1640-50.</w:t>
            </w:r>
          </w:p>
        </w:tc>
      </w:tr>
      <w:tr w:rsidR="0007125B" w:rsidRPr="007C16E5" w:rsidTr="00071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07125B" w:rsidRPr="0007125B" w:rsidRDefault="0007125B" w:rsidP="000463A9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07125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Yamagata</w:t>
            </w:r>
          </w:p>
        </w:tc>
        <w:tc>
          <w:tcPr>
            <w:tcW w:w="6803" w:type="dxa"/>
          </w:tcPr>
          <w:p w:rsidR="0007125B" w:rsidRPr="004F0192" w:rsidRDefault="0007125B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192">
              <w:rPr>
                <w:sz w:val="20"/>
                <w:szCs w:val="20"/>
              </w:rPr>
              <w:t xml:space="preserve">Yamagata N, </w:t>
            </w:r>
            <w:proofErr w:type="spellStart"/>
            <w:r w:rsidRPr="004F0192">
              <w:rPr>
                <w:sz w:val="20"/>
                <w:szCs w:val="20"/>
              </w:rPr>
              <w:t>Shyr</w:t>
            </w:r>
            <w:proofErr w:type="spellEnd"/>
            <w:r w:rsidRPr="004F0192">
              <w:rPr>
                <w:sz w:val="20"/>
                <w:szCs w:val="20"/>
              </w:rPr>
              <w:t xml:space="preserve"> Y, Yanagisawa K, Edgerton M, Dang TP, Gonzalez A, et al. A training-testing approach to the molecular classification of resected non-small cel</w:t>
            </w:r>
            <w:r w:rsidR="00621E99" w:rsidRPr="004F0192">
              <w:rPr>
                <w:sz w:val="20"/>
                <w:szCs w:val="20"/>
              </w:rPr>
              <w:t xml:space="preserve">l lung cancer. </w:t>
            </w:r>
            <w:proofErr w:type="spellStart"/>
            <w:r w:rsidR="00621E99" w:rsidRPr="004F0192">
              <w:rPr>
                <w:sz w:val="20"/>
                <w:szCs w:val="20"/>
              </w:rPr>
              <w:t>Clin</w:t>
            </w:r>
            <w:proofErr w:type="spellEnd"/>
            <w:r w:rsidR="00621E99" w:rsidRPr="004F0192">
              <w:rPr>
                <w:sz w:val="20"/>
                <w:szCs w:val="20"/>
              </w:rPr>
              <w:t xml:space="preserve"> Cancer Res</w:t>
            </w:r>
            <w:r w:rsidRPr="004F0192">
              <w:rPr>
                <w:sz w:val="20"/>
                <w:szCs w:val="20"/>
              </w:rPr>
              <w:t>. 2003</w:t>
            </w:r>
            <w:proofErr w:type="gramStart"/>
            <w:r w:rsidRPr="004F0192">
              <w:rPr>
                <w:sz w:val="20"/>
                <w:szCs w:val="20"/>
              </w:rPr>
              <w:t>;9</w:t>
            </w:r>
            <w:proofErr w:type="gramEnd"/>
            <w:r w:rsidRPr="004F0192">
              <w:rPr>
                <w:sz w:val="20"/>
                <w:szCs w:val="20"/>
              </w:rPr>
              <w:t>(13):4695-704.</w:t>
            </w:r>
          </w:p>
        </w:tc>
      </w:tr>
      <w:tr w:rsidR="00D10623" w:rsidRPr="007C16E5" w:rsidTr="0022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Align w:val="center"/>
          </w:tcPr>
          <w:p w:rsidR="00D10623" w:rsidRPr="00E0600C" w:rsidRDefault="00D10623" w:rsidP="0022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00C">
              <w:rPr>
                <w:rFonts w:ascii="Times New Roman" w:hAnsi="Times New Roman" w:cs="Times New Roman"/>
                <w:sz w:val="20"/>
                <w:szCs w:val="20"/>
              </w:rPr>
              <w:t>Sabates-Bellver</w:t>
            </w:r>
            <w:proofErr w:type="spellEnd"/>
          </w:p>
        </w:tc>
        <w:tc>
          <w:tcPr>
            <w:tcW w:w="6803" w:type="dxa"/>
          </w:tcPr>
          <w:p w:rsidR="00D10623" w:rsidRPr="004F0192" w:rsidRDefault="004F0192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192">
              <w:rPr>
                <w:sz w:val="20"/>
                <w:szCs w:val="20"/>
              </w:rPr>
              <w:t xml:space="preserve">Transcriptome profile of human colorectal adenomas. </w:t>
            </w:r>
            <w:proofErr w:type="spellStart"/>
            <w:r w:rsidRPr="004F0192">
              <w:rPr>
                <w:sz w:val="20"/>
                <w:szCs w:val="20"/>
              </w:rPr>
              <w:t>Mol</w:t>
            </w:r>
            <w:proofErr w:type="spellEnd"/>
            <w:r w:rsidRPr="004F0192">
              <w:rPr>
                <w:sz w:val="20"/>
                <w:szCs w:val="20"/>
              </w:rPr>
              <w:t xml:space="preserve"> Cancer Res. </w:t>
            </w:r>
            <w:proofErr w:type="gramStart"/>
            <w:r w:rsidRPr="004F0192">
              <w:rPr>
                <w:sz w:val="20"/>
                <w:szCs w:val="20"/>
              </w:rPr>
              <w:t>2007 ;5</w:t>
            </w:r>
            <w:proofErr w:type="gramEnd"/>
            <w:r w:rsidRPr="004F0192">
              <w:rPr>
                <w:sz w:val="20"/>
                <w:szCs w:val="20"/>
              </w:rPr>
              <w:t>(12):1263-75</w:t>
            </w:r>
            <w:r w:rsidRPr="004F0192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D10623" w:rsidRPr="007C16E5" w:rsidTr="0022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Align w:val="center"/>
          </w:tcPr>
          <w:p w:rsidR="00D10623" w:rsidRPr="00E0600C" w:rsidRDefault="00D10623" w:rsidP="0022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00C">
              <w:rPr>
                <w:rFonts w:ascii="Times New Roman" w:hAnsi="Times New Roman" w:cs="Times New Roman"/>
                <w:sz w:val="20"/>
                <w:szCs w:val="20"/>
              </w:rPr>
              <w:t>Skrzypczak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and </w:t>
            </w:r>
            <w:proofErr w:type="spellStart"/>
            <w:r w:rsidRPr="00E0600C">
              <w:rPr>
                <w:rFonts w:ascii="Times New Roman" w:hAnsi="Times New Roman" w:cs="Times New Roman"/>
                <w:sz w:val="20"/>
                <w:szCs w:val="20"/>
              </w:rPr>
              <w:t>Skrzypczak</w:t>
            </w:r>
            <w:proofErr w:type="spellEnd"/>
            <w:r w:rsidRPr="00E0600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6803" w:type="dxa"/>
          </w:tcPr>
          <w:p w:rsidR="00D10623" w:rsidRPr="004F0192" w:rsidRDefault="004F0192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192">
              <w:rPr>
                <w:sz w:val="20"/>
                <w:szCs w:val="20"/>
              </w:rPr>
              <w:t>Modeling oncogenic signaling in colon tumors by multidirectional analyses of microarray data directed for maximization of an</w:t>
            </w:r>
            <w:r w:rsidR="004E5F48">
              <w:rPr>
                <w:sz w:val="20"/>
                <w:szCs w:val="20"/>
              </w:rPr>
              <w:t xml:space="preserve">alytical reliability. </w:t>
            </w:r>
            <w:proofErr w:type="spellStart"/>
            <w:r w:rsidR="004E5F48">
              <w:rPr>
                <w:sz w:val="20"/>
                <w:szCs w:val="20"/>
              </w:rPr>
              <w:t>PLoS</w:t>
            </w:r>
            <w:proofErr w:type="spellEnd"/>
            <w:r w:rsidR="004E5F48">
              <w:rPr>
                <w:sz w:val="20"/>
                <w:szCs w:val="20"/>
              </w:rPr>
              <w:t xml:space="preserve"> One.</w:t>
            </w:r>
            <w:r w:rsidR="004E5F48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Pr="004F0192">
              <w:rPr>
                <w:sz w:val="20"/>
                <w:szCs w:val="20"/>
              </w:rPr>
              <w:t>2010 ;5</w:t>
            </w:r>
            <w:proofErr w:type="gramEnd"/>
            <w:r w:rsidRPr="004F0192">
              <w:rPr>
                <w:sz w:val="20"/>
                <w:szCs w:val="20"/>
              </w:rPr>
              <w:t xml:space="preserve">(10). </w:t>
            </w:r>
            <w:proofErr w:type="spellStart"/>
            <w:r w:rsidRPr="004F0192">
              <w:rPr>
                <w:sz w:val="20"/>
                <w:szCs w:val="20"/>
              </w:rPr>
              <w:t>pii</w:t>
            </w:r>
            <w:proofErr w:type="spellEnd"/>
            <w:r w:rsidRPr="004F0192">
              <w:rPr>
                <w:sz w:val="20"/>
                <w:szCs w:val="20"/>
              </w:rPr>
              <w:t>: e1309</w:t>
            </w:r>
            <w:r w:rsidRPr="004F0192"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D10623" w:rsidRPr="007C16E5" w:rsidTr="0022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Align w:val="center"/>
          </w:tcPr>
          <w:p w:rsidR="00D10623" w:rsidRPr="00E0600C" w:rsidRDefault="00D10623" w:rsidP="0022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600C">
              <w:rPr>
                <w:rFonts w:ascii="Times New Roman" w:hAnsi="Times New Roman" w:cs="Times New Roman"/>
                <w:sz w:val="20"/>
                <w:szCs w:val="20"/>
              </w:rPr>
              <w:t>Gaedcke</w:t>
            </w:r>
            <w:proofErr w:type="spellEnd"/>
            <w:r w:rsidRPr="00E0600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03" w:type="dxa"/>
          </w:tcPr>
          <w:p w:rsidR="00D10623" w:rsidRPr="004F0192" w:rsidRDefault="004F0192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192">
              <w:rPr>
                <w:sz w:val="20"/>
                <w:szCs w:val="20"/>
              </w:rPr>
              <w:t xml:space="preserve">Mutated KRAS results in overexpression of DUSP4, a MAP-kinase phosphatase, and SMYD3, a histone methyltransferase, in rectal </w:t>
            </w:r>
            <w:r w:rsidRPr="004F0192">
              <w:rPr>
                <w:sz w:val="20"/>
                <w:szCs w:val="20"/>
              </w:rPr>
              <w:lastRenderedPageBreak/>
              <w:t>carcinomas. Genes Chromosomes Cancer. 2010;49(11):1024-34</w:t>
            </w:r>
          </w:p>
        </w:tc>
      </w:tr>
      <w:tr w:rsidR="00D10623" w:rsidRPr="007C16E5" w:rsidTr="0022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Align w:val="center"/>
          </w:tcPr>
          <w:p w:rsidR="00D10623" w:rsidRPr="00E0600C" w:rsidRDefault="00D10623" w:rsidP="0022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Kaiser </w:t>
            </w:r>
          </w:p>
        </w:tc>
        <w:tc>
          <w:tcPr>
            <w:tcW w:w="6803" w:type="dxa"/>
          </w:tcPr>
          <w:p w:rsidR="00D10623" w:rsidRPr="004F0192" w:rsidRDefault="004F0192" w:rsidP="004E5F48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192">
              <w:rPr>
                <w:sz w:val="20"/>
                <w:szCs w:val="20"/>
              </w:rPr>
              <w:t>Transcriptional recapitulation and subversion of embryonic colon development by mouse colon tumor models and human colon cancer. Genome Biol.</w:t>
            </w:r>
            <w:r w:rsidR="004E5F48">
              <w:rPr>
                <w:rFonts w:hint="eastAsia"/>
                <w:sz w:val="20"/>
                <w:szCs w:val="20"/>
              </w:rPr>
              <w:t xml:space="preserve"> </w:t>
            </w:r>
            <w:r w:rsidRPr="004F0192">
              <w:rPr>
                <w:sz w:val="20"/>
                <w:szCs w:val="20"/>
              </w:rPr>
              <w:t>2007</w:t>
            </w:r>
            <w:proofErr w:type="gramStart"/>
            <w:r w:rsidRPr="004F0192">
              <w:rPr>
                <w:sz w:val="20"/>
                <w:szCs w:val="20"/>
              </w:rPr>
              <w:t>;8</w:t>
            </w:r>
            <w:proofErr w:type="gramEnd"/>
            <w:r w:rsidRPr="004F0192">
              <w:rPr>
                <w:sz w:val="20"/>
                <w:szCs w:val="20"/>
              </w:rPr>
              <w:t>(7):R131</w:t>
            </w:r>
            <w:r w:rsidRPr="004F0192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D10623" w:rsidRPr="007C16E5" w:rsidTr="0022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Align w:val="center"/>
          </w:tcPr>
          <w:p w:rsidR="00D10623" w:rsidRPr="00E0600C" w:rsidRDefault="00D10623" w:rsidP="0022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00C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</w:p>
        </w:tc>
        <w:tc>
          <w:tcPr>
            <w:tcW w:w="6803" w:type="dxa"/>
          </w:tcPr>
          <w:p w:rsidR="00D10623" w:rsidRPr="004F0192" w:rsidRDefault="004F0192" w:rsidP="004E5F48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192">
              <w:rPr>
                <w:sz w:val="20"/>
                <w:szCs w:val="20"/>
              </w:rPr>
              <w:t xml:space="preserve">Whole genome analysis for liver metastasis gene signatures in colorectal cancer. </w:t>
            </w:r>
            <w:proofErr w:type="spellStart"/>
            <w:r w:rsidRPr="004F0192">
              <w:rPr>
                <w:sz w:val="20"/>
                <w:szCs w:val="20"/>
              </w:rPr>
              <w:t>Int</w:t>
            </w:r>
            <w:proofErr w:type="spellEnd"/>
            <w:r w:rsidRPr="004F0192">
              <w:rPr>
                <w:sz w:val="20"/>
                <w:szCs w:val="20"/>
              </w:rPr>
              <w:t xml:space="preserve"> J Cancer.</w:t>
            </w:r>
            <w:r w:rsidR="004E5F48">
              <w:rPr>
                <w:rFonts w:hint="eastAsia"/>
                <w:sz w:val="20"/>
                <w:szCs w:val="20"/>
              </w:rPr>
              <w:t xml:space="preserve"> </w:t>
            </w:r>
            <w:proofErr w:type="gramStart"/>
            <w:r w:rsidRPr="004F0192">
              <w:rPr>
                <w:sz w:val="20"/>
                <w:szCs w:val="20"/>
              </w:rPr>
              <w:t>2007 ;121</w:t>
            </w:r>
            <w:proofErr w:type="gramEnd"/>
            <w:r w:rsidRPr="004F0192">
              <w:rPr>
                <w:sz w:val="20"/>
                <w:szCs w:val="20"/>
              </w:rPr>
              <w:t>(9):2005-12</w:t>
            </w:r>
            <w:r w:rsidRPr="004F0192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D10623" w:rsidRPr="007C16E5" w:rsidTr="000712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D10623" w:rsidRDefault="00D10623" w:rsidP="000463A9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4"/>
              </w:rPr>
              <w:t>TCGA</w:t>
            </w:r>
          </w:p>
        </w:tc>
        <w:tc>
          <w:tcPr>
            <w:tcW w:w="6803" w:type="dxa"/>
          </w:tcPr>
          <w:p w:rsidR="00D10623" w:rsidRPr="004F0192" w:rsidRDefault="004F0192" w:rsidP="004E5F48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192">
              <w:rPr>
                <w:sz w:val="20"/>
                <w:szCs w:val="20"/>
              </w:rPr>
              <w:t>Comprehensive molecular characterization of human colon and rectal cancer. Nature.</w:t>
            </w:r>
            <w:r w:rsidR="004E5F48">
              <w:rPr>
                <w:rFonts w:hint="eastAsia"/>
                <w:sz w:val="20"/>
                <w:szCs w:val="20"/>
              </w:rPr>
              <w:t xml:space="preserve"> </w:t>
            </w:r>
            <w:r w:rsidRPr="004F0192">
              <w:rPr>
                <w:sz w:val="20"/>
                <w:szCs w:val="20"/>
              </w:rPr>
              <w:t>2012 ;487(7407):330-7</w:t>
            </w:r>
          </w:p>
        </w:tc>
      </w:tr>
      <w:tr w:rsidR="000B2164" w:rsidRPr="004F0192" w:rsidTr="0022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0B2164" w:rsidRPr="0007125B" w:rsidRDefault="000B2164" w:rsidP="00221A4E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proofErr w:type="spellStart"/>
            <w:r w:rsidRPr="008A3354">
              <w:rPr>
                <w:rFonts w:ascii="Times New Roman" w:hAnsi="Times New Roman" w:cs="Times New Roman"/>
                <w:sz w:val="20"/>
                <w:szCs w:val="20"/>
              </w:rPr>
              <w:t>DErrico</w:t>
            </w:r>
            <w:proofErr w:type="spellEnd"/>
          </w:p>
        </w:tc>
        <w:tc>
          <w:tcPr>
            <w:tcW w:w="6803" w:type="dxa"/>
          </w:tcPr>
          <w:p w:rsidR="000B2164" w:rsidRPr="004F0192" w:rsidRDefault="000B2164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192">
              <w:rPr>
                <w:sz w:val="20"/>
                <w:szCs w:val="20"/>
              </w:rPr>
              <w:t xml:space="preserve">Genome-wide expression profile of sporadic gastric cancers with microsatellite instability. </w:t>
            </w:r>
            <w:proofErr w:type="spellStart"/>
            <w:r w:rsidRPr="004F0192">
              <w:rPr>
                <w:sz w:val="20"/>
                <w:szCs w:val="20"/>
              </w:rPr>
              <w:t>Eur</w:t>
            </w:r>
            <w:proofErr w:type="spellEnd"/>
            <w:r w:rsidRPr="004F0192">
              <w:rPr>
                <w:sz w:val="20"/>
                <w:szCs w:val="20"/>
              </w:rPr>
              <w:t xml:space="preserve"> J Cancer. </w:t>
            </w:r>
            <w:proofErr w:type="gramStart"/>
            <w:r w:rsidRPr="004F0192">
              <w:rPr>
                <w:sz w:val="20"/>
                <w:szCs w:val="20"/>
              </w:rPr>
              <w:t>2009 ;45</w:t>
            </w:r>
            <w:proofErr w:type="gramEnd"/>
            <w:r w:rsidRPr="004F0192">
              <w:rPr>
                <w:sz w:val="20"/>
                <w:szCs w:val="20"/>
              </w:rPr>
              <w:t>(3):461-9.</w:t>
            </w:r>
          </w:p>
        </w:tc>
      </w:tr>
      <w:tr w:rsidR="000B2164" w:rsidRPr="004F0192" w:rsidTr="0022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0B2164" w:rsidRPr="0007125B" w:rsidRDefault="000B2164" w:rsidP="00221A4E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8A3354">
              <w:rPr>
                <w:rFonts w:ascii="Times New Roman" w:hAnsi="Times New Roman" w:cs="Times New Roman"/>
                <w:sz w:val="20"/>
                <w:szCs w:val="20"/>
              </w:rPr>
              <w:t>Chen</w:t>
            </w:r>
          </w:p>
        </w:tc>
        <w:tc>
          <w:tcPr>
            <w:tcW w:w="6803" w:type="dxa"/>
          </w:tcPr>
          <w:p w:rsidR="000B2164" w:rsidRPr="004F0192" w:rsidRDefault="000B2164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192">
              <w:rPr>
                <w:sz w:val="20"/>
                <w:szCs w:val="20"/>
              </w:rPr>
              <w:t xml:space="preserve">Variation in gene expression patterns in human gastric cancers. </w:t>
            </w:r>
            <w:proofErr w:type="spellStart"/>
            <w:r w:rsidRPr="004F0192">
              <w:rPr>
                <w:sz w:val="20"/>
                <w:szCs w:val="20"/>
              </w:rPr>
              <w:t>Mol</w:t>
            </w:r>
            <w:proofErr w:type="spellEnd"/>
            <w:r w:rsidRPr="004F0192">
              <w:rPr>
                <w:sz w:val="20"/>
                <w:szCs w:val="20"/>
              </w:rPr>
              <w:t xml:space="preserve"> </w:t>
            </w:r>
            <w:proofErr w:type="spellStart"/>
            <w:r w:rsidRPr="004F0192">
              <w:rPr>
                <w:sz w:val="20"/>
                <w:szCs w:val="20"/>
              </w:rPr>
              <w:t>Biol</w:t>
            </w:r>
            <w:proofErr w:type="spellEnd"/>
            <w:r w:rsidRPr="004F0192">
              <w:rPr>
                <w:sz w:val="20"/>
                <w:szCs w:val="20"/>
              </w:rPr>
              <w:t xml:space="preserve"> Cell. 2003; 14(8): 3208–3215</w:t>
            </w:r>
          </w:p>
        </w:tc>
      </w:tr>
      <w:tr w:rsidR="000B2164" w:rsidRPr="004F0192" w:rsidTr="0022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0B2164" w:rsidRPr="008A3354" w:rsidRDefault="000B2164" w:rsidP="00221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354">
              <w:rPr>
                <w:rFonts w:ascii="Times New Roman" w:hAnsi="Times New Roman" w:cs="Times New Roman"/>
                <w:sz w:val="20"/>
                <w:szCs w:val="20"/>
              </w:rPr>
              <w:t>Cho</w:t>
            </w:r>
          </w:p>
        </w:tc>
        <w:tc>
          <w:tcPr>
            <w:tcW w:w="6803" w:type="dxa"/>
          </w:tcPr>
          <w:p w:rsidR="000B2164" w:rsidRPr="004F0192" w:rsidRDefault="000B2164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192">
              <w:rPr>
                <w:sz w:val="20"/>
                <w:szCs w:val="20"/>
              </w:rPr>
              <w:t xml:space="preserve">Gene expression signature-based prognostic risk score in gastric cancer. </w:t>
            </w:r>
            <w:proofErr w:type="spellStart"/>
            <w:r w:rsidRPr="004F0192">
              <w:rPr>
                <w:sz w:val="20"/>
                <w:szCs w:val="20"/>
              </w:rPr>
              <w:t>Clin</w:t>
            </w:r>
            <w:proofErr w:type="spellEnd"/>
            <w:r w:rsidRPr="004F0192">
              <w:rPr>
                <w:sz w:val="20"/>
                <w:szCs w:val="20"/>
              </w:rPr>
              <w:t xml:space="preserve"> Cancer Res. </w:t>
            </w:r>
            <w:proofErr w:type="gramStart"/>
            <w:r w:rsidRPr="004F0192">
              <w:rPr>
                <w:sz w:val="20"/>
                <w:szCs w:val="20"/>
              </w:rPr>
              <w:t>2011 ;</w:t>
            </w:r>
            <w:proofErr w:type="gramEnd"/>
            <w:r w:rsidRPr="004F0192">
              <w:rPr>
                <w:sz w:val="20"/>
                <w:szCs w:val="20"/>
              </w:rPr>
              <w:t xml:space="preserve"> 17(7): 1850–1857.</w:t>
            </w:r>
          </w:p>
        </w:tc>
      </w:tr>
      <w:tr w:rsidR="000B2164" w:rsidRPr="004F0192" w:rsidTr="0022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0B2164" w:rsidRPr="0007125B" w:rsidRDefault="000B2164" w:rsidP="00221A4E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Wang</w:t>
            </w:r>
          </w:p>
        </w:tc>
        <w:tc>
          <w:tcPr>
            <w:tcW w:w="6803" w:type="dxa"/>
          </w:tcPr>
          <w:p w:rsidR="000B2164" w:rsidRPr="004F0192" w:rsidRDefault="000B2164" w:rsidP="004E5F48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192">
              <w:rPr>
                <w:sz w:val="20"/>
                <w:szCs w:val="20"/>
              </w:rPr>
              <w:t xml:space="preserve">Upregulated INHBA expression is associated with poor survival in gastric cancer. Med </w:t>
            </w:r>
            <w:proofErr w:type="spellStart"/>
            <w:r w:rsidRPr="004F0192">
              <w:rPr>
                <w:sz w:val="20"/>
                <w:szCs w:val="20"/>
              </w:rPr>
              <w:t>Oncol</w:t>
            </w:r>
            <w:proofErr w:type="spellEnd"/>
            <w:r w:rsidRPr="004F0192">
              <w:rPr>
                <w:sz w:val="20"/>
                <w:szCs w:val="20"/>
              </w:rPr>
              <w:t>.</w:t>
            </w:r>
            <w:r w:rsidR="004E5F48">
              <w:rPr>
                <w:rFonts w:hint="eastAsia"/>
                <w:sz w:val="20"/>
                <w:szCs w:val="20"/>
              </w:rPr>
              <w:t xml:space="preserve"> </w:t>
            </w:r>
            <w:r w:rsidRPr="004F0192">
              <w:rPr>
                <w:sz w:val="20"/>
                <w:szCs w:val="20"/>
              </w:rPr>
              <w:t>2012;29(1):77-83</w:t>
            </w:r>
          </w:p>
        </w:tc>
      </w:tr>
      <w:tr w:rsidR="000B2164" w:rsidRPr="004F0192" w:rsidTr="0022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</w:tcPr>
          <w:p w:rsidR="000B2164" w:rsidRPr="0007125B" w:rsidRDefault="000B2164" w:rsidP="00221A4E">
            <w:pPr>
              <w:spacing w:line="400" w:lineRule="exact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4"/>
              </w:rPr>
              <w:t>Cui</w:t>
            </w:r>
          </w:p>
        </w:tc>
        <w:tc>
          <w:tcPr>
            <w:tcW w:w="6803" w:type="dxa"/>
          </w:tcPr>
          <w:p w:rsidR="000B2164" w:rsidRPr="004F0192" w:rsidRDefault="000B2164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F0192">
              <w:rPr>
                <w:sz w:val="20"/>
                <w:szCs w:val="20"/>
              </w:rPr>
              <w:t>An integrated transcriptomic and computational analysis for biomarker identification in gastric cancer. Nucleic Acids Res. 2011;39(4):1197-207</w:t>
            </w:r>
          </w:p>
        </w:tc>
      </w:tr>
      <w:tr w:rsidR="00221A4E" w:rsidRPr="004F0192" w:rsidTr="0022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Align w:val="center"/>
          </w:tcPr>
          <w:p w:rsidR="00221A4E" w:rsidRPr="00221A4E" w:rsidRDefault="00221A4E" w:rsidP="00221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1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Badea</w:t>
            </w:r>
            <w:proofErr w:type="spellEnd"/>
          </w:p>
        </w:tc>
        <w:tc>
          <w:tcPr>
            <w:tcW w:w="6803" w:type="dxa"/>
          </w:tcPr>
          <w:p w:rsidR="00221A4E" w:rsidRPr="00D0101A" w:rsidRDefault="00221A4E" w:rsidP="004E5F48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101A">
              <w:rPr>
                <w:color w:val="000000"/>
                <w:sz w:val="20"/>
                <w:szCs w:val="20"/>
              </w:rPr>
              <w:t xml:space="preserve">Combined gene expression analysis of whole-tissue and </w:t>
            </w:r>
            <w:proofErr w:type="spellStart"/>
            <w:r w:rsidRPr="00D0101A">
              <w:rPr>
                <w:color w:val="000000"/>
                <w:sz w:val="20"/>
                <w:szCs w:val="20"/>
              </w:rPr>
              <w:t>microdissected</w:t>
            </w:r>
            <w:proofErr w:type="spellEnd"/>
            <w:r w:rsidRPr="00D0101A">
              <w:rPr>
                <w:color w:val="000000"/>
                <w:sz w:val="20"/>
                <w:szCs w:val="20"/>
              </w:rPr>
              <w:t xml:space="preserve"> pancreatic ductal adenocarcinoma identifies genes specifically o</w:t>
            </w:r>
            <w:r w:rsidR="00D0101A" w:rsidRPr="00D0101A">
              <w:rPr>
                <w:color w:val="000000"/>
                <w:sz w:val="20"/>
                <w:szCs w:val="20"/>
              </w:rPr>
              <w:t xml:space="preserve">verexpressed in tumor epithelia. </w:t>
            </w:r>
            <w:proofErr w:type="spellStart"/>
            <w:r w:rsidR="00D0101A" w:rsidRPr="00D0101A">
              <w:rPr>
                <w:color w:val="000000"/>
                <w:sz w:val="20"/>
                <w:szCs w:val="20"/>
              </w:rPr>
              <w:t>Hepatogastroenterology</w:t>
            </w:r>
            <w:proofErr w:type="spellEnd"/>
            <w:r w:rsidR="00D0101A" w:rsidRPr="00D0101A">
              <w:rPr>
                <w:color w:val="000000"/>
                <w:sz w:val="20"/>
                <w:szCs w:val="20"/>
              </w:rPr>
              <w:t>.</w:t>
            </w:r>
            <w:r w:rsidR="004E5F48">
              <w:rPr>
                <w:rStyle w:val="apple-converted-space"/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D0101A" w:rsidRPr="00D0101A">
              <w:rPr>
                <w:color w:val="000000"/>
                <w:sz w:val="20"/>
                <w:szCs w:val="20"/>
              </w:rPr>
              <w:t>2008;55(88):2016-27</w:t>
            </w:r>
          </w:p>
        </w:tc>
      </w:tr>
      <w:tr w:rsidR="00221A4E" w:rsidRPr="004F0192" w:rsidTr="0022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Align w:val="center"/>
          </w:tcPr>
          <w:p w:rsidR="00221A4E" w:rsidRPr="00221A4E" w:rsidRDefault="00221A4E" w:rsidP="00221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1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Logsdon</w:t>
            </w:r>
          </w:p>
        </w:tc>
        <w:tc>
          <w:tcPr>
            <w:tcW w:w="6803" w:type="dxa"/>
          </w:tcPr>
          <w:p w:rsidR="00221A4E" w:rsidRPr="00D0101A" w:rsidRDefault="00D0101A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101A">
              <w:rPr>
                <w:color w:val="000000"/>
                <w:sz w:val="20"/>
                <w:szCs w:val="20"/>
              </w:rPr>
              <w:t>Molecular profiling of pancreatic adenocarcinoma and chronic pancreatitis identifies multiple genes differentially regulated in pancreatic cancer. Cancer Res.</w:t>
            </w:r>
            <w:r w:rsidRPr="00D0101A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D0101A">
              <w:rPr>
                <w:color w:val="000000"/>
                <w:sz w:val="20"/>
                <w:szCs w:val="20"/>
              </w:rPr>
              <w:t>2003;63(10):2649-57</w:t>
            </w:r>
          </w:p>
        </w:tc>
      </w:tr>
      <w:tr w:rsidR="00221A4E" w:rsidRPr="004F0192" w:rsidTr="00221A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Align w:val="center"/>
          </w:tcPr>
          <w:p w:rsidR="00221A4E" w:rsidRPr="00221A4E" w:rsidRDefault="00221A4E" w:rsidP="00221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1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Iacobuzio</w:t>
            </w:r>
            <w:proofErr w:type="spellEnd"/>
            <w:r w:rsidRPr="00221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-Donahue</w:t>
            </w:r>
          </w:p>
        </w:tc>
        <w:tc>
          <w:tcPr>
            <w:tcW w:w="6803" w:type="dxa"/>
          </w:tcPr>
          <w:p w:rsidR="00221A4E" w:rsidRPr="00D0101A" w:rsidRDefault="00D0101A" w:rsidP="004E5F48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101A">
              <w:rPr>
                <w:color w:val="000000"/>
                <w:sz w:val="20"/>
                <w:szCs w:val="20"/>
              </w:rPr>
              <w:t xml:space="preserve">Exploration of global gene expression patterns in pancreatic adenocarcinoma using cDNA microarrays. Am J </w:t>
            </w:r>
            <w:proofErr w:type="spellStart"/>
            <w:r w:rsidRPr="00D0101A">
              <w:rPr>
                <w:color w:val="000000"/>
                <w:sz w:val="20"/>
                <w:szCs w:val="20"/>
              </w:rPr>
              <w:t>Pathol</w:t>
            </w:r>
            <w:proofErr w:type="spellEnd"/>
            <w:r w:rsidRPr="00D0101A">
              <w:rPr>
                <w:color w:val="000000"/>
                <w:sz w:val="20"/>
                <w:szCs w:val="20"/>
              </w:rPr>
              <w:t>.</w:t>
            </w:r>
            <w:r w:rsidR="004E5F48">
              <w:rPr>
                <w:rStyle w:val="apple-converted-space"/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0101A">
              <w:rPr>
                <w:rStyle w:val="apple-converted-space"/>
                <w:color w:val="000000"/>
                <w:sz w:val="20"/>
                <w:szCs w:val="20"/>
              </w:rPr>
              <w:t>2003</w:t>
            </w:r>
            <w:proofErr w:type="gramStart"/>
            <w:r w:rsidRPr="00D0101A">
              <w:rPr>
                <w:color w:val="000000"/>
                <w:sz w:val="20"/>
                <w:szCs w:val="20"/>
              </w:rPr>
              <w:t>;162</w:t>
            </w:r>
            <w:proofErr w:type="gramEnd"/>
            <w:r w:rsidRPr="00D0101A">
              <w:rPr>
                <w:color w:val="000000"/>
                <w:sz w:val="20"/>
                <w:szCs w:val="20"/>
              </w:rPr>
              <w:t>(4):1151-62.</w:t>
            </w:r>
          </w:p>
        </w:tc>
      </w:tr>
      <w:tr w:rsidR="00221A4E" w:rsidRPr="004F0192" w:rsidTr="00221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9" w:type="dxa"/>
            <w:vAlign w:val="center"/>
          </w:tcPr>
          <w:p w:rsidR="00221A4E" w:rsidRPr="00221A4E" w:rsidRDefault="00221A4E" w:rsidP="00221A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1A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Segara</w:t>
            </w:r>
            <w:proofErr w:type="spellEnd"/>
          </w:p>
        </w:tc>
        <w:tc>
          <w:tcPr>
            <w:tcW w:w="6803" w:type="dxa"/>
          </w:tcPr>
          <w:p w:rsidR="00221A4E" w:rsidRPr="00D0101A" w:rsidRDefault="00D0101A" w:rsidP="00D0101A">
            <w:pPr>
              <w:pStyle w:val="a5"/>
              <w:numPr>
                <w:ilvl w:val="0"/>
                <w:numId w:val="5"/>
              </w:numPr>
              <w:ind w:leftChars="0" w:left="482" w:hanging="4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0101A">
              <w:rPr>
                <w:color w:val="000000"/>
                <w:sz w:val="20"/>
                <w:szCs w:val="20"/>
              </w:rPr>
              <w:t xml:space="preserve">Expression of HOXB2, a retinoic acid signaling target in pancreatic cancer and pancreatic intraepithelial neoplasia. </w:t>
            </w:r>
            <w:proofErr w:type="spellStart"/>
            <w:r w:rsidRPr="00D0101A">
              <w:rPr>
                <w:color w:val="000000"/>
                <w:sz w:val="20"/>
                <w:szCs w:val="20"/>
              </w:rPr>
              <w:t>Clin</w:t>
            </w:r>
            <w:proofErr w:type="spellEnd"/>
            <w:r w:rsidRPr="00D0101A">
              <w:rPr>
                <w:color w:val="000000"/>
                <w:sz w:val="20"/>
                <w:szCs w:val="20"/>
              </w:rPr>
              <w:t xml:space="preserve"> Cancer Res.</w:t>
            </w:r>
            <w:r w:rsidR="004E5F48">
              <w:rPr>
                <w:rStyle w:val="apple-converted-space"/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0101A">
              <w:rPr>
                <w:color w:val="000000"/>
                <w:sz w:val="20"/>
                <w:szCs w:val="20"/>
              </w:rPr>
              <w:t>2005</w:t>
            </w:r>
            <w:proofErr w:type="gramStart"/>
            <w:r w:rsidRPr="00D0101A">
              <w:rPr>
                <w:color w:val="000000"/>
                <w:sz w:val="20"/>
                <w:szCs w:val="20"/>
              </w:rPr>
              <w:t>;11</w:t>
            </w:r>
            <w:proofErr w:type="gramEnd"/>
            <w:r w:rsidRPr="00D0101A">
              <w:rPr>
                <w:color w:val="000000"/>
                <w:sz w:val="20"/>
                <w:szCs w:val="20"/>
              </w:rPr>
              <w:t>(9):3587-96.</w:t>
            </w:r>
          </w:p>
        </w:tc>
      </w:tr>
    </w:tbl>
    <w:p w:rsidR="00221A4E" w:rsidRPr="00221A4E" w:rsidRDefault="00221A4E" w:rsidP="004F0192">
      <w:pPr>
        <w:rPr>
          <w:rFonts w:ascii="Times New Roman" w:hAnsi="Times New Roman" w:cs="Times New Roman"/>
        </w:rPr>
      </w:pPr>
    </w:p>
    <w:sectPr w:rsidR="00221A4E" w:rsidRPr="00221A4E" w:rsidSect="00833A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8F" w:rsidRDefault="0028748F" w:rsidP="005B0992">
      <w:r>
        <w:separator/>
      </w:r>
    </w:p>
  </w:endnote>
  <w:endnote w:type="continuationSeparator" w:id="0">
    <w:p w:rsidR="0028748F" w:rsidRDefault="0028748F" w:rsidP="005B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8F" w:rsidRDefault="0028748F" w:rsidP="005B0992">
      <w:r>
        <w:separator/>
      </w:r>
    </w:p>
  </w:footnote>
  <w:footnote w:type="continuationSeparator" w:id="0">
    <w:p w:rsidR="0028748F" w:rsidRDefault="0028748F" w:rsidP="005B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7ED"/>
    <w:multiLevelType w:val="hybridMultilevel"/>
    <w:tmpl w:val="E954E7EC"/>
    <w:lvl w:ilvl="0" w:tplc="53DED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C573B"/>
    <w:multiLevelType w:val="hybridMultilevel"/>
    <w:tmpl w:val="DDBC0FD8"/>
    <w:lvl w:ilvl="0" w:tplc="9856B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BE4BBF"/>
    <w:multiLevelType w:val="hybridMultilevel"/>
    <w:tmpl w:val="78ACF2DA"/>
    <w:lvl w:ilvl="0" w:tplc="9C0CF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F1CB4"/>
    <w:multiLevelType w:val="hybridMultilevel"/>
    <w:tmpl w:val="5930FD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F169B6"/>
    <w:multiLevelType w:val="hybridMultilevel"/>
    <w:tmpl w:val="8D347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A32707"/>
    <w:multiLevelType w:val="hybridMultilevel"/>
    <w:tmpl w:val="E1784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B765D5"/>
    <w:multiLevelType w:val="hybridMultilevel"/>
    <w:tmpl w:val="56740748"/>
    <w:lvl w:ilvl="0" w:tplc="53DED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E5309"/>
    <w:rsid w:val="000463A9"/>
    <w:rsid w:val="0007125B"/>
    <w:rsid w:val="00072BF2"/>
    <w:rsid w:val="000B2164"/>
    <w:rsid w:val="000E5135"/>
    <w:rsid w:val="001574C8"/>
    <w:rsid w:val="001872B5"/>
    <w:rsid w:val="00220C23"/>
    <w:rsid w:val="00221A4E"/>
    <w:rsid w:val="0022572A"/>
    <w:rsid w:val="0025429A"/>
    <w:rsid w:val="0028748F"/>
    <w:rsid w:val="002D3E98"/>
    <w:rsid w:val="00353C7B"/>
    <w:rsid w:val="003D4E1D"/>
    <w:rsid w:val="00481988"/>
    <w:rsid w:val="004E5F48"/>
    <w:rsid w:val="004F0192"/>
    <w:rsid w:val="00512CD5"/>
    <w:rsid w:val="0051757F"/>
    <w:rsid w:val="005A2B40"/>
    <w:rsid w:val="005B0992"/>
    <w:rsid w:val="005D48D7"/>
    <w:rsid w:val="00621E99"/>
    <w:rsid w:val="00694C17"/>
    <w:rsid w:val="006C5E51"/>
    <w:rsid w:val="006E1820"/>
    <w:rsid w:val="006E320D"/>
    <w:rsid w:val="007F7AA8"/>
    <w:rsid w:val="00800F27"/>
    <w:rsid w:val="00833A16"/>
    <w:rsid w:val="00850F70"/>
    <w:rsid w:val="00872D0C"/>
    <w:rsid w:val="008A3354"/>
    <w:rsid w:val="008A5201"/>
    <w:rsid w:val="008B5774"/>
    <w:rsid w:val="00993DB2"/>
    <w:rsid w:val="00A60BA4"/>
    <w:rsid w:val="00AC1746"/>
    <w:rsid w:val="00BD31D8"/>
    <w:rsid w:val="00BE5309"/>
    <w:rsid w:val="00C219E1"/>
    <w:rsid w:val="00D0101A"/>
    <w:rsid w:val="00D10623"/>
    <w:rsid w:val="00D952EF"/>
    <w:rsid w:val="00DB00B7"/>
    <w:rsid w:val="00E0600C"/>
    <w:rsid w:val="00EB554A"/>
    <w:rsid w:val="00EF2BDE"/>
    <w:rsid w:val="00F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09"/>
    <w:pPr>
      <w:widowControl w:val="0"/>
    </w:pPr>
  </w:style>
  <w:style w:type="paragraph" w:styleId="1">
    <w:name w:val="heading 1"/>
    <w:basedOn w:val="a"/>
    <w:link w:val="10"/>
    <w:uiPriority w:val="9"/>
    <w:qFormat/>
    <w:rsid w:val="00BE530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E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5309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Light Shading"/>
    <w:basedOn w:val="a1"/>
    <w:uiPriority w:val="60"/>
    <w:rsid w:val="00BE53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Medium List 1"/>
    <w:basedOn w:val="a1"/>
    <w:uiPriority w:val="65"/>
    <w:rsid w:val="00BE530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4">
    <w:name w:val="Hyperlink"/>
    <w:basedOn w:val="a0"/>
    <w:uiPriority w:val="99"/>
    <w:unhideWhenUsed/>
    <w:rsid w:val="00BE53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530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BE5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3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309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E5309"/>
    <w:rPr>
      <w:color w:val="800080" w:themeColor="followedHyperlink"/>
      <w:u w:val="single"/>
    </w:rPr>
  </w:style>
  <w:style w:type="table" w:customStyle="1" w:styleId="12">
    <w:name w:val="淺色網底1"/>
    <w:basedOn w:val="a1"/>
    <w:uiPriority w:val="60"/>
    <w:rsid w:val="005B09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標題 3 字元"/>
    <w:basedOn w:val="a0"/>
    <w:link w:val="3"/>
    <w:uiPriority w:val="9"/>
    <w:semiHidden/>
    <w:rsid w:val="006C5E5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A3354"/>
  </w:style>
  <w:style w:type="character" w:customStyle="1" w:styleId="cit">
    <w:name w:val="cit"/>
    <w:basedOn w:val="a0"/>
    <w:rsid w:val="008A3354"/>
  </w:style>
  <w:style w:type="character" w:customStyle="1" w:styleId="highlight">
    <w:name w:val="highlight"/>
    <w:basedOn w:val="a0"/>
    <w:rsid w:val="00D10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09"/>
    <w:pPr>
      <w:widowControl w:val="0"/>
    </w:pPr>
  </w:style>
  <w:style w:type="paragraph" w:styleId="1">
    <w:name w:val="heading 1"/>
    <w:basedOn w:val="a"/>
    <w:link w:val="10"/>
    <w:uiPriority w:val="9"/>
    <w:qFormat/>
    <w:rsid w:val="00BE530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E5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E5309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3">
    <w:name w:val="Light Shading"/>
    <w:basedOn w:val="a1"/>
    <w:uiPriority w:val="60"/>
    <w:rsid w:val="00BE53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Medium List 1"/>
    <w:basedOn w:val="a1"/>
    <w:uiPriority w:val="65"/>
    <w:rsid w:val="00BE530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4">
    <w:name w:val="Hyperlink"/>
    <w:basedOn w:val="a0"/>
    <w:uiPriority w:val="99"/>
    <w:unhideWhenUsed/>
    <w:rsid w:val="00BE53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5309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BE5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30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309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BE5309"/>
    <w:rPr>
      <w:color w:val="800080" w:themeColor="followedHyperlink"/>
      <w:u w:val="single"/>
    </w:rPr>
  </w:style>
  <w:style w:type="table" w:customStyle="1" w:styleId="12">
    <w:name w:val="淺色網底1"/>
    <w:basedOn w:val="a1"/>
    <w:uiPriority w:val="60"/>
    <w:rsid w:val="005B09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標題 3 字元"/>
    <w:basedOn w:val="a0"/>
    <w:link w:val="3"/>
    <w:uiPriority w:val="9"/>
    <w:semiHidden/>
    <w:rsid w:val="006C5E51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A3354"/>
  </w:style>
  <w:style w:type="character" w:customStyle="1" w:styleId="cit">
    <w:name w:val="cit"/>
    <w:basedOn w:val="a0"/>
    <w:rsid w:val="008A3354"/>
  </w:style>
  <w:style w:type="character" w:customStyle="1" w:styleId="highlight">
    <w:name w:val="highlight"/>
    <w:basedOn w:val="a0"/>
    <w:rsid w:val="00D1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Tzu-Yang</dc:creator>
  <cp:lastModifiedBy>tzweng</cp:lastModifiedBy>
  <cp:revision>28</cp:revision>
  <cp:lastPrinted>2016-03-08T08:06:00Z</cp:lastPrinted>
  <dcterms:created xsi:type="dcterms:W3CDTF">2016-01-26T09:22:00Z</dcterms:created>
  <dcterms:modified xsi:type="dcterms:W3CDTF">2016-08-02T03:47:00Z</dcterms:modified>
</cp:coreProperties>
</file>