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350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83"/>
        <w:gridCol w:w="709"/>
        <w:gridCol w:w="1950"/>
        <w:gridCol w:w="602"/>
        <w:gridCol w:w="708"/>
        <w:gridCol w:w="2127"/>
        <w:gridCol w:w="425"/>
        <w:gridCol w:w="709"/>
        <w:gridCol w:w="2126"/>
        <w:gridCol w:w="674"/>
        <w:gridCol w:w="634"/>
      </w:tblGrid>
      <w:tr w:rsidR="00D368C9" w:rsidRPr="001430ED" w14:paraId="1AD5804F" w14:textId="77777777" w:rsidTr="004D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bottom w:val="nil"/>
            </w:tcBorders>
            <w:shd w:val="clear" w:color="auto" w:fill="auto"/>
            <w:hideMark/>
          </w:tcPr>
          <w:p w14:paraId="464E2C31" w14:textId="77777777" w:rsidR="00D368C9" w:rsidRPr="00E3166A" w:rsidRDefault="00D368C9" w:rsidP="00AD60EF">
            <w:pPr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E3166A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Rank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hideMark/>
          </w:tcPr>
          <w:p w14:paraId="2CDD526D" w14:textId="08FA2559" w:rsidR="00D368C9" w:rsidRPr="00EA142E" w:rsidRDefault="00D368C9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Developing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hideMark/>
          </w:tcPr>
          <w:p w14:paraId="41AFEFB2" w14:textId="77777777" w:rsidR="00D368C9" w:rsidRPr="00EA142E" w:rsidRDefault="00D368C9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14:paraId="158B602D" w14:textId="7F778106" w:rsidR="00D368C9" w:rsidRPr="00EA142E" w:rsidRDefault="00653BF8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auto"/>
            <w:noWrap/>
            <w:hideMark/>
          </w:tcPr>
          <w:p w14:paraId="440BE06E" w14:textId="0C942168" w:rsidR="00D368C9" w:rsidRPr="00EA142E" w:rsidRDefault="00D368C9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Developed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  <w:noWrap/>
            <w:hideMark/>
          </w:tcPr>
          <w:p w14:paraId="16ADA52B" w14:textId="77777777" w:rsidR="00D368C9" w:rsidRPr="00EA142E" w:rsidRDefault="00D368C9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14:paraId="1EA627DB" w14:textId="29D23A58" w:rsidR="00D368C9" w:rsidRPr="00EA142E" w:rsidRDefault="00653BF8" w:rsidP="00AD60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hideMark/>
          </w:tcPr>
          <w:p w14:paraId="6753D01A" w14:textId="01151837" w:rsidR="00D368C9" w:rsidRPr="00EA142E" w:rsidRDefault="00D368C9" w:rsidP="00051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Country not stated 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14:paraId="15636398" w14:textId="77777777" w:rsidR="00D368C9" w:rsidRPr="00EA142E" w:rsidRDefault="00D368C9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14:paraId="20F07225" w14:textId="214EAC15" w:rsidR="00D368C9" w:rsidRPr="00EA142E" w:rsidRDefault="00653BF8" w:rsidP="00AD60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hideMark/>
          </w:tcPr>
          <w:p w14:paraId="1A02B6FA" w14:textId="5A9E8069" w:rsidR="00D368C9" w:rsidRPr="00EA142E" w:rsidRDefault="00D368C9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auto"/>
            <w:noWrap/>
            <w:hideMark/>
          </w:tcPr>
          <w:p w14:paraId="7532654A" w14:textId="77777777" w:rsidR="00D368C9" w:rsidRPr="00E3166A" w:rsidRDefault="00D368C9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auto"/>
            <w:noWrap/>
            <w:hideMark/>
          </w:tcPr>
          <w:p w14:paraId="2964CB3C" w14:textId="0DB12619" w:rsidR="00D368C9" w:rsidRPr="00E3166A" w:rsidRDefault="00653BF8" w:rsidP="00AD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</w:tr>
      <w:tr w:rsidR="0005106E" w:rsidRPr="001430ED" w14:paraId="028E044F" w14:textId="77777777" w:rsidTr="004D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bottom w:val="nil"/>
            </w:tcBorders>
            <w:shd w:val="clear" w:color="auto" w:fill="auto"/>
          </w:tcPr>
          <w:p w14:paraId="6081EB26" w14:textId="77777777" w:rsidR="0005106E" w:rsidRPr="00E3166A" w:rsidRDefault="0005106E" w:rsidP="00AD60E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73270877" w14:textId="4244F633" w:rsidR="0005106E" w:rsidRPr="00EA142E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(77 responses)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</w:tcPr>
          <w:p w14:paraId="3B7CA59B" w14:textId="77777777" w:rsidR="0005106E" w:rsidRPr="00EA142E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</w:tcPr>
          <w:p w14:paraId="37EA0633" w14:textId="77777777" w:rsidR="0005106E" w:rsidRPr="00EA142E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50" w:type="dxa"/>
            <w:tcBorders>
              <w:bottom w:val="nil"/>
            </w:tcBorders>
            <w:shd w:val="clear" w:color="auto" w:fill="auto"/>
            <w:noWrap/>
          </w:tcPr>
          <w:p w14:paraId="27FC92AB" w14:textId="7257F03A" w:rsidR="0005106E" w:rsidRPr="00EA142E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(916 responses)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  <w:noWrap/>
          </w:tcPr>
          <w:p w14:paraId="1F93702E" w14:textId="77777777" w:rsidR="0005106E" w:rsidRPr="00EA142E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</w:tcPr>
          <w:p w14:paraId="7643682E" w14:textId="77777777" w:rsidR="0005106E" w:rsidRPr="00EA142E" w:rsidRDefault="0005106E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</w:tcPr>
          <w:p w14:paraId="130093E4" w14:textId="58ECB30D" w:rsidR="0005106E" w:rsidRPr="00EA142E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(166 responses)</w:t>
            </w:r>
            <w:r w:rsidRPr="00937024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@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</w:tcPr>
          <w:p w14:paraId="183649F4" w14:textId="77777777" w:rsidR="0005106E" w:rsidRPr="00EA142E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</w:tcPr>
          <w:p w14:paraId="75BFCAFD" w14:textId="77777777" w:rsidR="0005106E" w:rsidRPr="00EA142E" w:rsidRDefault="0005106E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</w:tcPr>
          <w:p w14:paraId="59DB3256" w14:textId="6C40FB44" w:rsidR="0005106E" w:rsidRPr="00EA142E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A142E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(1159 responses)</w:t>
            </w:r>
          </w:p>
        </w:tc>
        <w:tc>
          <w:tcPr>
            <w:tcW w:w="674" w:type="dxa"/>
            <w:tcBorders>
              <w:bottom w:val="nil"/>
            </w:tcBorders>
            <w:shd w:val="clear" w:color="auto" w:fill="auto"/>
            <w:noWrap/>
          </w:tcPr>
          <w:p w14:paraId="4926F2C5" w14:textId="77777777" w:rsidR="0005106E" w:rsidRPr="00E3166A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4" w:type="dxa"/>
            <w:tcBorders>
              <w:bottom w:val="nil"/>
            </w:tcBorders>
            <w:shd w:val="clear" w:color="auto" w:fill="auto"/>
            <w:noWrap/>
          </w:tcPr>
          <w:p w14:paraId="763C4E1F" w14:textId="77777777" w:rsidR="0005106E" w:rsidRPr="00E3166A" w:rsidRDefault="0005106E" w:rsidP="00AD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368C9" w:rsidRPr="001430ED" w14:paraId="62021C52" w14:textId="77777777" w:rsidTr="0053453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A8236E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C63E670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the South African Veterinary Association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8C285C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F52AD0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783BCA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the American Veterinary Medical Association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9A8023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328AB2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15.2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FF892F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Preventive Veterinary Medicine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3EA49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3D47DD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15.7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FAD1A8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the American Veterinary Medical Association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4A1B4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057FBD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13.1</w:t>
            </w:r>
          </w:p>
        </w:tc>
      </w:tr>
      <w:tr w:rsidR="00D368C9" w:rsidRPr="001430ED" w14:paraId="02A12B9C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06056B81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=1</w:t>
            </w:r>
          </w:p>
        </w:tc>
        <w:tc>
          <w:tcPr>
            <w:tcW w:w="2693" w:type="dxa"/>
            <w:shd w:val="clear" w:color="auto" w:fill="auto"/>
            <w:hideMark/>
          </w:tcPr>
          <w:p w14:paraId="18F9F50E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Medicine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83ACE9C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151D2D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2C0D0D68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BC82241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D6D86E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839AC02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Pathology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889D78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0DEF24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9C1D28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641762A4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703028FB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68C9" w:rsidRPr="001430ED" w14:paraId="654B5432" w14:textId="77777777" w:rsidTr="0053453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7C12AE0D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73AC1345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Compendium: Continuing Education for Veterinarians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2B6C3A3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0275CB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36DEBD3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Clinician's Brief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AFCD9E5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13FCA4F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741014E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Record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DBE78E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4EDA60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  <w:r w:rsidR="0053453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.0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1C59A9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Clinician's Brief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6CA8787E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16235A4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7.5</w:t>
            </w:r>
          </w:p>
        </w:tc>
      </w:tr>
      <w:tr w:rsidR="00D368C9" w:rsidRPr="001430ED" w14:paraId="7C77A027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15E9EC6A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4A1F67B6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 News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1DA9CB7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AEC07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5FFD9053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Compendium: Continuing Education for Veterinarians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1D969A72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AFB62C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0EC76A6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the American Veterinary Medical Association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908EC6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C24548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E89EAB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Compendium: Continuing Education for Veterinarians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381BD2D9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1E74A8AC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</w:tr>
      <w:tr w:rsidR="00D368C9" w:rsidRPr="001430ED" w14:paraId="0AD81A51" w14:textId="77777777" w:rsidTr="005345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1447F7EC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14:paraId="27FEE709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Equine Veterinary Education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78F216FD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68D620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22EB9152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Veterinary Internal Medicine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4232CED4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358544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A464AE8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B491E2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4D3848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75104D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Veterinary Internal Medicine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11FF346A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068A8334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</w:tr>
      <w:tr w:rsidR="00D368C9" w:rsidRPr="001430ED" w14:paraId="5EBCF750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1F764049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=4</w:t>
            </w:r>
          </w:p>
        </w:tc>
        <w:tc>
          <w:tcPr>
            <w:tcW w:w="2693" w:type="dxa"/>
            <w:shd w:val="clear" w:color="auto" w:fill="auto"/>
            <w:hideMark/>
          </w:tcPr>
          <w:p w14:paraId="168D0677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In Practice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B3DC3D2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8E18CB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255A04DB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97908A0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4C850C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998C333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854AF4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9951CC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E3F32C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2FF4C6B0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5C771066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68C9" w:rsidRPr="001430ED" w14:paraId="275F5C1C" w14:textId="77777777" w:rsidTr="0053453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1268A53C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=4</w:t>
            </w:r>
          </w:p>
        </w:tc>
        <w:tc>
          <w:tcPr>
            <w:tcW w:w="2693" w:type="dxa"/>
            <w:shd w:val="clear" w:color="auto" w:fill="auto"/>
            <w:hideMark/>
          </w:tcPr>
          <w:p w14:paraId="5397BB39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the American Veterinary Medical Association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7EF65E08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82616D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40E06AA3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C67D976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0E7370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06F54FF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1C9527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92BCD5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62EBAD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12F843D0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594E2E9E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68C9" w:rsidRPr="001430ED" w14:paraId="0F7DD363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105D698E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=4</w:t>
            </w:r>
          </w:p>
        </w:tc>
        <w:tc>
          <w:tcPr>
            <w:tcW w:w="2693" w:type="dxa"/>
            <w:shd w:val="clear" w:color="auto" w:fill="auto"/>
            <w:hideMark/>
          </w:tcPr>
          <w:p w14:paraId="6AA715B8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South African Veterinary Association newsletter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26F92955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B37486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28A1FEE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7F7D2D6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6052BB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F52947E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178754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AF8E89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FC02A0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72FD7A7B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0150B008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68C9" w:rsidRPr="001430ED" w14:paraId="4D722EB3" w14:textId="77777777" w:rsidTr="0053453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69234472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14:paraId="0905B9B3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Veterinary Internal Medicine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3BB1AF97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AA0A1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58523D8B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Medicine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60FDCE1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999865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 w:rsidR="0053453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.0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1C3B94E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Veterinary Internal Medicine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A8CF4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24F736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2CCEB3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Medicine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7E027B12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40385DC5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</w:tr>
      <w:tr w:rsidR="00D368C9" w:rsidRPr="001430ED" w14:paraId="33277B38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30766497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=5</w:t>
            </w:r>
          </w:p>
        </w:tc>
        <w:tc>
          <w:tcPr>
            <w:tcW w:w="2693" w:type="dxa"/>
            <w:shd w:val="clear" w:color="auto" w:fill="auto"/>
            <w:hideMark/>
          </w:tcPr>
          <w:p w14:paraId="48FDCD58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Record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BBB96AA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8FCE99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05F5B16E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3DA48787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F01337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41E28A0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Microbiology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0987DF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AE58B1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8D609C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55C00023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41D212C9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68C9" w:rsidRPr="001430ED" w14:paraId="1396DF9C" w14:textId="77777777" w:rsidTr="005345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0CAED0CA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14:paraId="298C86C3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Avian Diseases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0F1AB538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A6D8AC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31D30239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Equine Veterinary Education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0708FFFB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50E74B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DC62167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Toxicologic</w:t>
            </w:r>
            <w:proofErr w:type="spellEnd"/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Pathology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FC61AF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3C3451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AFD4AD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Equine Veterinary Education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D7ED51B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55C221C8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</w:tr>
      <w:tr w:rsidR="00D368C9" w:rsidRPr="001430ED" w14:paraId="4882DC9C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1E0D1102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=6</w:t>
            </w:r>
          </w:p>
        </w:tc>
        <w:tc>
          <w:tcPr>
            <w:tcW w:w="2693" w:type="dxa"/>
            <w:shd w:val="clear" w:color="auto" w:fill="auto"/>
            <w:hideMark/>
          </w:tcPr>
          <w:p w14:paraId="76522914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Clinics of North America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8FEDCAD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64AECA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55926255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BD346E5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53AE3D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C501521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7476AF5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DEF5EB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8D2C0F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17E026AD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0D386B8E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68C9" w:rsidRPr="001430ED" w14:paraId="5E2B786B" w14:textId="77777777" w:rsidTr="0053453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5F562516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14:paraId="06D9A3B9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  journals (1 nomination each)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666AA4CE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41604F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7B1878A2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Equine Veterinary Journal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4D8D90F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0BF82E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6C3CCD8E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Clinician's Brief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3A6C06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3077D9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72BBD6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Equine Veterinary Journal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99CF230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6503CF10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</w:tr>
      <w:tr w:rsidR="00D368C9" w:rsidRPr="001430ED" w14:paraId="57256A2C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44B79862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25DB693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70321079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AEE173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0F0BDD69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5539B672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192130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91AE5E3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Veterinary Diagnostic Investigation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7F1F8D3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E39BCD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DD0FEB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11B87B5F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6D61AC8C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68C9" w:rsidRPr="001430ED" w14:paraId="0BC10790" w14:textId="77777777" w:rsidTr="005345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516708CD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8C9931C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681D95ED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0D8F92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D49B226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3F443B0A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99C361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0E9246D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Veterinary Clinics of North America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272850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42602E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707364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607A364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6E13E18E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368C9" w:rsidRPr="001430ED" w14:paraId="73B71208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074BE646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14:paraId="05CDBF6F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4135BB0C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559E44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00A5678E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Feline Medicine and Surgery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648265AF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83E621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4207972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  journals (2 nominations each)*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DFF52F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CE060F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CB3C34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Feline Medicine and Surgery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47D146B2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4291F028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</w:tr>
      <w:tr w:rsidR="00D368C9" w:rsidRPr="001430ED" w14:paraId="225600F6" w14:textId="77777777" w:rsidTr="005345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513BC580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14:paraId="7D149E6E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1B0EE77C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D34DE6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36603FD4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Veterinary Emergency and Critical Care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257D889A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EE3497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C646AFB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45 journals (1 nomination each)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690F21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7626B3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B78655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Journal of Veterinary Emergency and Critical Care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EA93489" w14:textId="77777777" w:rsidR="00D368C9" w:rsidRPr="00E3166A" w:rsidRDefault="00534535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0C513474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</w:tr>
      <w:tr w:rsidR="00D368C9" w:rsidRPr="001430ED" w14:paraId="62A9EA8B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586FA765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E75B937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154F3F8F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461CDB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48CDB11C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161057D1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059BD6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E3808FA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BD4D6A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4FB93E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826248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Preventive Veterinary Medicine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D012712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004498E3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</w:tr>
      <w:tr w:rsidR="00D368C9" w:rsidRPr="001430ED" w14:paraId="57A40A71" w14:textId="77777777" w:rsidTr="005345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2B97CB8A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14:paraId="7968245A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2B478BE1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CE01E3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42B68C9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Australian Veterinary Journal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705FC2A7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BB867E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9235322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392481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3A4AF3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59F6E9" w14:textId="77777777" w:rsidR="00D368C9" w:rsidRPr="00E3166A" w:rsidRDefault="00D368C9" w:rsidP="00AD60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Australian Veterinary Journal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B62300D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50DA094F" w14:textId="77777777" w:rsidR="00D368C9" w:rsidRPr="00E3166A" w:rsidRDefault="00D368C9" w:rsidP="00AD60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</w:tr>
      <w:tr w:rsidR="00D368C9" w:rsidRPr="001430ED" w14:paraId="24076CCA" w14:textId="77777777" w:rsidTr="0053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auto"/>
            <w:hideMark/>
          </w:tcPr>
          <w:p w14:paraId="4B317CB9" w14:textId="77777777" w:rsidR="00D368C9" w:rsidRPr="00E3166A" w:rsidRDefault="00D368C9" w:rsidP="00AD60E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48A9FB8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14:paraId="151E3FDF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850250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3DB688A9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14:paraId="1EA58DD1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3E5D45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38D11D0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F101B2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DAFF27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7B4DD1" w14:textId="77777777" w:rsidR="00D368C9" w:rsidRPr="00E3166A" w:rsidRDefault="00D368C9" w:rsidP="00AD60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Svensk</w:t>
            </w:r>
            <w:proofErr w:type="spellEnd"/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Veterinärtidning</w:t>
            </w:r>
            <w:proofErr w:type="spellEnd"/>
          </w:p>
        </w:tc>
        <w:tc>
          <w:tcPr>
            <w:tcW w:w="674" w:type="dxa"/>
            <w:shd w:val="clear" w:color="auto" w:fill="auto"/>
            <w:noWrap/>
            <w:hideMark/>
          </w:tcPr>
          <w:p w14:paraId="72650BD0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14:paraId="29830FF1" w14:textId="77777777" w:rsidR="00D368C9" w:rsidRPr="00E3166A" w:rsidRDefault="00D368C9" w:rsidP="00AD60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E3166A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</w:tr>
    </w:tbl>
    <w:p w14:paraId="4BE54BDC" w14:textId="407245A2" w:rsidR="00D368C9" w:rsidRPr="00E85248" w:rsidRDefault="00F75848" w:rsidP="00E85248">
      <w:pPr>
        <w:rPr>
          <w:sz w:val="16"/>
          <w:szCs w:val="16"/>
        </w:rPr>
      </w:pPr>
      <w:r w:rsidRPr="00B84A27">
        <w:rPr>
          <w:sz w:val="16"/>
          <w:szCs w:val="16"/>
          <w:vertAlign w:val="superscript"/>
        </w:rPr>
        <w:t>@</w:t>
      </w:r>
      <w:r w:rsidRPr="00B84A27">
        <w:rPr>
          <w:sz w:val="16"/>
          <w:szCs w:val="16"/>
        </w:rPr>
        <w:t>1</w:t>
      </w:r>
      <w:r>
        <w:rPr>
          <w:sz w:val="16"/>
          <w:szCs w:val="16"/>
        </w:rPr>
        <w:t>60</w:t>
      </w:r>
      <w:r w:rsidRPr="00B84A27">
        <w:rPr>
          <w:sz w:val="16"/>
          <w:szCs w:val="16"/>
        </w:rPr>
        <w:t xml:space="preserve"> of 166 (</w:t>
      </w:r>
      <w:r>
        <w:rPr>
          <w:sz w:val="16"/>
          <w:szCs w:val="16"/>
        </w:rPr>
        <w:t>96.4</w:t>
      </w:r>
      <w:r w:rsidRPr="00B84A27">
        <w:rPr>
          <w:sz w:val="16"/>
          <w:szCs w:val="16"/>
        </w:rPr>
        <w:t>%) responses where country was not stated were responses by non-clinicians.  Non-clinicians were not asked country of work in the questionnaire</w:t>
      </w:r>
      <w:r w:rsidRPr="00E85248">
        <w:rPr>
          <w:sz w:val="16"/>
          <w:szCs w:val="16"/>
        </w:rPr>
        <w:t xml:space="preserve"> </w:t>
      </w:r>
      <w:r w:rsidR="00D368C9" w:rsidRPr="00E85248">
        <w:rPr>
          <w:sz w:val="16"/>
          <w:szCs w:val="16"/>
        </w:rPr>
        <w:t xml:space="preserve">* Canadian Veterinary Journal, Journal of Dairy Science, Journal of Feline Medicine and Surgery, Journal of Veterinary Pharmacology and Therapeutics, Laboratory Animals, OIE Scientific and Technical Review, </w:t>
      </w:r>
      <w:proofErr w:type="spellStart"/>
      <w:r w:rsidR="00D368C9" w:rsidRPr="00E85248">
        <w:rPr>
          <w:sz w:val="16"/>
          <w:szCs w:val="16"/>
        </w:rPr>
        <w:t>Svensk</w:t>
      </w:r>
      <w:proofErr w:type="spellEnd"/>
      <w:r w:rsidR="00D368C9" w:rsidRPr="00E85248">
        <w:rPr>
          <w:sz w:val="16"/>
          <w:szCs w:val="16"/>
        </w:rPr>
        <w:t xml:space="preserve"> </w:t>
      </w:r>
      <w:proofErr w:type="spellStart"/>
      <w:r w:rsidR="00D368C9" w:rsidRPr="00E85248">
        <w:rPr>
          <w:sz w:val="16"/>
          <w:szCs w:val="16"/>
        </w:rPr>
        <w:t>Veterinärtidning</w:t>
      </w:r>
      <w:proofErr w:type="spellEnd"/>
      <w:r w:rsidR="00D368C9" w:rsidRPr="00E85248">
        <w:rPr>
          <w:sz w:val="16"/>
          <w:szCs w:val="16"/>
        </w:rPr>
        <w:t xml:space="preserve">, The Veterinary Journal, Veterinary Parasitology, Veterinary World, </w:t>
      </w:r>
      <w:proofErr w:type="spellStart"/>
      <w:r w:rsidR="00D368C9" w:rsidRPr="00E85248">
        <w:rPr>
          <w:sz w:val="16"/>
          <w:szCs w:val="16"/>
        </w:rPr>
        <w:t>Vetscript</w:t>
      </w:r>
      <w:proofErr w:type="spellEnd"/>
      <w:r w:rsidR="00D368C9" w:rsidRPr="00E85248">
        <w:rPr>
          <w:sz w:val="16"/>
          <w:szCs w:val="16"/>
        </w:rPr>
        <w:t xml:space="preserve">, </w:t>
      </w:r>
      <w:proofErr w:type="spellStart"/>
      <w:r w:rsidR="00D368C9" w:rsidRPr="00E85248">
        <w:rPr>
          <w:sz w:val="16"/>
          <w:szCs w:val="16"/>
        </w:rPr>
        <w:t>Zoonoses</w:t>
      </w:r>
      <w:proofErr w:type="spellEnd"/>
      <w:r w:rsidR="00D368C9" w:rsidRPr="00E85248">
        <w:rPr>
          <w:sz w:val="16"/>
          <w:szCs w:val="16"/>
        </w:rPr>
        <w:t xml:space="preserve"> and Public Health</w:t>
      </w:r>
    </w:p>
    <w:p w14:paraId="369C25E4" w14:textId="77777777" w:rsidR="00804C7D" w:rsidRDefault="00804C7D"/>
    <w:sectPr w:rsidR="00804C7D" w:rsidSect="00D368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B5226" w15:done="0"/>
  <w15:commentEx w15:paraId="0B9DD9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lly">
    <w15:presenceInfo w15:providerId="None" w15:userId="Selly"/>
  </w15:person>
  <w15:person w15:author="Marnie">
    <w15:presenceInfo w15:providerId="None" w15:userId="Mar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9"/>
    <w:rsid w:val="0005106E"/>
    <w:rsid w:val="00171120"/>
    <w:rsid w:val="00251572"/>
    <w:rsid w:val="00283BC8"/>
    <w:rsid w:val="003E06A5"/>
    <w:rsid w:val="004D4BCF"/>
    <w:rsid w:val="00534535"/>
    <w:rsid w:val="005A7DF5"/>
    <w:rsid w:val="00653BF8"/>
    <w:rsid w:val="00715E70"/>
    <w:rsid w:val="00804C7D"/>
    <w:rsid w:val="00B84A27"/>
    <w:rsid w:val="00D368C9"/>
    <w:rsid w:val="00E46551"/>
    <w:rsid w:val="00E83D4B"/>
    <w:rsid w:val="00E85248"/>
    <w:rsid w:val="00EA142E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6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C9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3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20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20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C9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3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1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20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20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</dc:creator>
  <cp:lastModifiedBy>Marnie Brennan</cp:lastModifiedBy>
  <cp:revision>2</cp:revision>
  <dcterms:created xsi:type="dcterms:W3CDTF">2016-07-18T10:21:00Z</dcterms:created>
  <dcterms:modified xsi:type="dcterms:W3CDTF">2016-07-18T10:21:00Z</dcterms:modified>
</cp:coreProperties>
</file>