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2A" w:rsidRDefault="004F252A" w:rsidP="004F252A">
      <w:pPr>
        <w:pageBreakBefore/>
        <w:spacing w:after="120"/>
        <w:jc w:val="both"/>
        <w:rPr>
          <w:lang w:val="en-AU"/>
        </w:rPr>
      </w:pPr>
      <w:r w:rsidRPr="00FF70F2">
        <w:rPr>
          <w:b/>
          <w:lang w:val="en-US"/>
        </w:rPr>
        <w:t>S2 Table</w:t>
      </w:r>
      <w:r w:rsidRPr="008452DA">
        <w:rPr>
          <w:b/>
          <w:lang w:val="en-AU"/>
        </w:rPr>
        <w:t xml:space="preserve"> </w:t>
      </w:r>
      <w:r w:rsidRPr="00AD6DD4">
        <w:rPr>
          <w:lang w:val="en-AU"/>
        </w:rPr>
        <w:t>Summary of linear mixed-effects models for species relative yields (RYs)</w:t>
      </w:r>
      <w:r>
        <w:rPr>
          <w:lang w:val="en-AU"/>
        </w:rPr>
        <w:t xml:space="preserve"> and species-level biomass corrected by sown proportions</w:t>
      </w:r>
    </w:p>
    <w:tbl>
      <w:tblPr>
        <w:tblW w:w="7781" w:type="dxa"/>
        <w:tblInd w:w="55" w:type="dxa"/>
        <w:tblCellMar>
          <w:left w:w="70" w:type="dxa"/>
          <w:right w:w="70" w:type="dxa"/>
        </w:tblCellMar>
        <w:tblLook w:val="04A0" w:firstRow="1" w:lastRow="0" w:firstColumn="1" w:lastColumn="0" w:noHBand="0" w:noVBand="1"/>
      </w:tblPr>
      <w:tblGrid>
        <w:gridCol w:w="2500"/>
        <w:gridCol w:w="280"/>
        <w:gridCol w:w="736"/>
        <w:gridCol w:w="742"/>
        <w:gridCol w:w="742"/>
        <w:gridCol w:w="285"/>
        <w:gridCol w:w="957"/>
        <w:gridCol w:w="632"/>
        <w:gridCol w:w="632"/>
        <w:gridCol w:w="285"/>
      </w:tblGrid>
      <w:tr w:rsidR="004F252A" w:rsidRPr="00B011EE" w:rsidTr="00EA3225">
        <w:trPr>
          <w:trHeight w:val="300"/>
        </w:trPr>
        <w:tc>
          <w:tcPr>
            <w:tcW w:w="2500" w:type="dxa"/>
            <w:tcBorders>
              <w:top w:val="single" w:sz="4" w:space="0" w:color="auto"/>
              <w:left w:val="nil"/>
              <w:bottom w:val="single" w:sz="4" w:space="0" w:color="auto"/>
              <w:right w:val="nil"/>
            </w:tcBorders>
            <w:shd w:val="clear" w:color="auto" w:fill="auto"/>
            <w:noWrap/>
            <w:vAlign w:val="bottom"/>
            <w:hideMark/>
          </w:tcPr>
          <w:p w:rsidR="004F252A" w:rsidRPr="00B011EE" w:rsidRDefault="004F252A" w:rsidP="00EA3225">
            <w:pPr>
              <w:rPr>
                <w:rFonts w:ascii="Arial" w:hAnsi="Arial" w:cs="Arial"/>
                <w:sz w:val="16"/>
                <w:szCs w:val="16"/>
              </w:rPr>
            </w:pPr>
            <w:r w:rsidRPr="00B011EE">
              <w:rPr>
                <w:rFonts w:ascii="Arial" w:hAnsi="Arial" w:cs="Arial"/>
                <w:sz w:val="16"/>
                <w:szCs w:val="16"/>
              </w:rPr>
              <w:t xml:space="preserve">Source </w:t>
            </w:r>
            <w:proofErr w:type="spellStart"/>
            <w:r w:rsidRPr="00B011EE">
              <w:rPr>
                <w:rFonts w:ascii="Arial" w:hAnsi="Arial" w:cs="Arial"/>
                <w:sz w:val="16"/>
                <w:szCs w:val="16"/>
              </w:rPr>
              <w:t>of</w:t>
            </w:r>
            <w:proofErr w:type="spellEnd"/>
            <w:r w:rsidRPr="00B011EE">
              <w:rPr>
                <w:rFonts w:ascii="Arial" w:hAnsi="Arial" w:cs="Arial"/>
                <w:sz w:val="16"/>
                <w:szCs w:val="16"/>
              </w:rPr>
              <w:t xml:space="preserve"> </w:t>
            </w:r>
            <w:proofErr w:type="spellStart"/>
            <w:r w:rsidRPr="00B011EE">
              <w:rPr>
                <w:rFonts w:ascii="Arial" w:hAnsi="Arial" w:cs="Arial"/>
                <w:sz w:val="16"/>
                <w:szCs w:val="16"/>
              </w:rPr>
              <w:t>variation</w:t>
            </w:r>
            <w:proofErr w:type="spellEnd"/>
          </w:p>
        </w:tc>
        <w:tc>
          <w:tcPr>
            <w:tcW w:w="280" w:type="dxa"/>
            <w:tcBorders>
              <w:top w:val="single" w:sz="4" w:space="0" w:color="auto"/>
              <w:left w:val="nil"/>
              <w:bottom w:val="single" w:sz="4" w:space="0" w:color="auto"/>
              <w:right w:val="nil"/>
            </w:tcBorders>
            <w:shd w:val="clear" w:color="auto" w:fill="auto"/>
            <w:noWrap/>
            <w:vAlign w:val="bottom"/>
            <w:hideMark/>
          </w:tcPr>
          <w:p w:rsidR="004F252A" w:rsidRPr="00B011EE" w:rsidRDefault="004F252A" w:rsidP="00EA3225">
            <w:pPr>
              <w:rPr>
                <w:rFonts w:ascii="Arial" w:hAnsi="Arial" w:cs="Arial"/>
                <w:sz w:val="16"/>
                <w:szCs w:val="16"/>
              </w:rPr>
            </w:pPr>
            <w:r w:rsidRPr="00B011EE">
              <w:rPr>
                <w:rFonts w:ascii="Arial" w:hAnsi="Arial" w:cs="Arial"/>
                <w:sz w:val="16"/>
                <w:szCs w:val="16"/>
              </w:rPr>
              <w:t> </w:t>
            </w:r>
          </w:p>
        </w:tc>
        <w:tc>
          <w:tcPr>
            <w:tcW w:w="2220" w:type="dxa"/>
            <w:gridSpan w:val="3"/>
            <w:tcBorders>
              <w:top w:val="single" w:sz="4" w:space="0" w:color="auto"/>
              <w:left w:val="nil"/>
              <w:bottom w:val="single" w:sz="4" w:space="0" w:color="auto"/>
              <w:right w:val="nil"/>
            </w:tcBorders>
            <w:shd w:val="clear" w:color="auto" w:fill="auto"/>
            <w:noWrap/>
            <w:vAlign w:val="bottom"/>
            <w:hideMark/>
          </w:tcPr>
          <w:p w:rsidR="004F252A" w:rsidRPr="00B011EE" w:rsidRDefault="004F252A" w:rsidP="00EA3225">
            <w:pPr>
              <w:jc w:val="center"/>
              <w:rPr>
                <w:rFonts w:ascii="Arial" w:hAnsi="Arial" w:cs="Arial"/>
                <w:sz w:val="16"/>
                <w:szCs w:val="16"/>
              </w:rPr>
            </w:pPr>
            <w:r w:rsidRPr="00B011EE">
              <w:rPr>
                <w:rFonts w:ascii="Arial" w:hAnsi="Arial" w:cs="Arial"/>
                <w:sz w:val="16"/>
                <w:szCs w:val="16"/>
              </w:rPr>
              <w:t xml:space="preserve">Relative </w:t>
            </w:r>
            <w:proofErr w:type="spellStart"/>
            <w:r w:rsidRPr="00B011EE">
              <w:rPr>
                <w:rFonts w:ascii="Arial" w:hAnsi="Arial" w:cs="Arial"/>
                <w:sz w:val="16"/>
                <w:szCs w:val="16"/>
              </w:rPr>
              <w:t>yields</w:t>
            </w:r>
            <w:proofErr w:type="spellEnd"/>
          </w:p>
        </w:tc>
        <w:tc>
          <w:tcPr>
            <w:tcW w:w="280" w:type="dxa"/>
            <w:tcBorders>
              <w:top w:val="single" w:sz="4" w:space="0" w:color="auto"/>
              <w:left w:val="nil"/>
              <w:bottom w:val="single" w:sz="4" w:space="0" w:color="auto"/>
              <w:right w:val="nil"/>
            </w:tcBorders>
            <w:shd w:val="clear" w:color="auto" w:fill="auto"/>
            <w:noWrap/>
            <w:vAlign w:val="bottom"/>
            <w:hideMark/>
          </w:tcPr>
          <w:p w:rsidR="004F252A" w:rsidRPr="00B011EE" w:rsidRDefault="004F252A" w:rsidP="00EA3225">
            <w:pPr>
              <w:rPr>
                <w:rFonts w:ascii="Arial" w:hAnsi="Arial" w:cs="Arial"/>
                <w:sz w:val="16"/>
                <w:szCs w:val="16"/>
              </w:rPr>
            </w:pPr>
            <w:r w:rsidRPr="00B011EE">
              <w:rPr>
                <w:rFonts w:ascii="Arial" w:hAnsi="Arial" w:cs="Arial"/>
                <w:sz w:val="16"/>
                <w:szCs w:val="16"/>
              </w:rPr>
              <w:t> </w:t>
            </w:r>
          </w:p>
        </w:tc>
        <w:tc>
          <w:tcPr>
            <w:tcW w:w="2221" w:type="dxa"/>
            <w:gridSpan w:val="3"/>
            <w:tcBorders>
              <w:top w:val="single" w:sz="4" w:space="0" w:color="auto"/>
              <w:left w:val="nil"/>
              <w:bottom w:val="single" w:sz="4" w:space="0" w:color="auto"/>
              <w:right w:val="nil"/>
            </w:tcBorders>
            <w:shd w:val="clear" w:color="auto" w:fill="auto"/>
            <w:noWrap/>
            <w:vAlign w:val="bottom"/>
            <w:hideMark/>
          </w:tcPr>
          <w:p w:rsidR="004F252A" w:rsidRPr="00B011EE" w:rsidRDefault="004F252A" w:rsidP="00EA3225">
            <w:pPr>
              <w:jc w:val="center"/>
              <w:rPr>
                <w:rFonts w:ascii="Arial" w:hAnsi="Arial" w:cs="Arial"/>
                <w:sz w:val="16"/>
                <w:szCs w:val="16"/>
              </w:rPr>
            </w:pPr>
            <w:proofErr w:type="spellStart"/>
            <w:r w:rsidRPr="00B011EE">
              <w:rPr>
                <w:rFonts w:ascii="Arial" w:hAnsi="Arial" w:cs="Arial"/>
                <w:sz w:val="16"/>
                <w:szCs w:val="16"/>
              </w:rPr>
              <w:t>Species</w:t>
            </w:r>
            <w:proofErr w:type="spellEnd"/>
            <w:r w:rsidRPr="00B011EE">
              <w:rPr>
                <w:rFonts w:ascii="Arial" w:hAnsi="Arial" w:cs="Arial"/>
                <w:sz w:val="16"/>
                <w:szCs w:val="16"/>
              </w:rPr>
              <w:t xml:space="preserve"> </w:t>
            </w:r>
            <w:proofErr w:type="spellStart"/>
            <w:r w:rsidRPr="00B011EE">
              <w:rPr>
                <w:rFonts w:ascii="Arial" w:hAnsi="Arial" w:cs="Arial"/>
                <w:sz w:val="16"/>
                <w:szCs w:val="16"/>
              </w:rPr>
              <w:t>biomass</w:t>
            </w:r>
            <w:proofErr w:type="spellEnd"/>
          </w:p>
        </w:tc>
        <w:tc>
          <w:tcPr>
            <w:tcW w:w="280" w:type="dxa"/>
            <w:tcBorders>
              <w:top w:val="single" w:sz="4" w:space="0" w:color="auto"/>
              <w:left w:val="nil"/>
              <w:bottom w:val="single" w:sz="4" w:space="0" w:color="auto"/>
              <w:right w:val="nil"/>
            </w:tcBorders>
            <w:shd w:val="clear" w:color="auto" w:fill="auto"/>
            <w:noWrap/>
            <w:vAlign w:val="bottom"/>
            <w:hideMark/>
          </w:tcPr>
          <w:p w:rsidR="004F252A" w:rsidRPr="00B011EE" w:rsidRDefault="004F252A" w:rsidP="00EA3225">
            <w:pPr>
              <w:rPr>
                <w:rFonts w:ascii="Arial" w:hAnsi="Arial" w:cs="Arial"/>
                <w:sz w:val="16"/>
                <w:szCs w:val="16"/>
              </w:rPr>
            </w:pPr>
            <w:r w:rsidRPr="00B011EE">
              <w:rPr>
                <w:rFonts w:ascii="Arial" w:hAnsi="Arial" w:cs="Arial"/>
                <w:sz w:val="16"/>
                <w:szCs w:val="16"/>
              </w:rPr>
              <w:t> </w:t>
            </w: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proofErr w:type="spellStart"/>
            <w:r w:rsidRPr="00B011EE">
              <w:rPr>
                <w:rFonts w:ascii="Arial" w:hAnsi="Arial" w:cs="Arial"/>
                <w:color w:val="000000"/>
                <w:sz w:val="16"/>
                <w:szCs w:val="16"/>
              </w:rPr>
              <w:t>df</w:t>
            </w:r>
            <w:proofErr w:type="spellEnd"/>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r w:rsidRPr="00B011EE">
              <w:rPr>
                <w:rFonts w:ascii="Arial" w:hAnsi="Arial" w:cs="Arial"/>
                <w:color w:val="000000"/>
                <w:sz w:val="16"/>
                <w:szCs w:val="16"/>
              </w:rPr>
              <w:t>MS</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r w:rsidRPr="00B011EE">
              <w:rPr>
                <w:rFonts w:ascii="Arial" w:hAnsi="Arial" w:cs="Arial"/>
                <w:color w:val="000000"/>
                <w:sz w:val="16"/>
                <w:szCs w:val="16"/>
              </w:rPr>
              <w:t>F</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r w:rsidRPr="00B011EE">
              <w:rPr>
                <w:rFonts w:ascii="Arial" w:hAnsi="Arial" w:cs="Arial"/>
                <w:color w:val="000000"/>
                <w:sz w:val="16"/>
                <w:szCs w:val="16"/>
              </w:rPr>
              <w:t>p</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r w:rsidRPr="00B011EE">
              <w:rPr>
                <w:rFonts w:ascii="Arial" w:hAnsi="Arial" w:cs="Arial"/>
                <w:color w:val="000000"/>
                <w:sz w:val="16"/>
                <w:szCs w:val="16"/>
              </w:rPr>
              <w:t>MS</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r w:rsidRPr="00B011EE">
              <w:rPr>
                <w:rFonts w:ascii="Arial" w:hAnsi="Arial" w:cs="Arial"/>
                <w:color w:val="000000"/>
                <w:sz w:val="16"/>
                <w:szCs w:val="16"/>
              </w:rPr>
              <w:t>F</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r w:rsidRPr="00B011EE">
              <w:rPr>
                <w:rFonts w:ascii="Arial" w:hAnsi="Arial" w:cs="Arial"/>
                <w:color w:val="000000"/>
                <w:sz w:val="16"/>
                <w:szCs w:val="16"/>
              </w:rPr>
              <w:t>p</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center"/>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0.219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0.59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0.472</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Calibri" w:hAnsi="Calibri" w:cs="Arial"/>
                <w:b/>
                <w:bCs/>
                <w:color w:val="000000"/>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824875</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5.39</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0.062</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Fertilizer</w:t>
            </w:r>
            <w:proofErr w:type="spellEnd"/>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3.906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10.53</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Calibri" w:hAnsi="Calibri" w:cs="Arial"/>
                <w:b/>
                <w:bCs/>
                <w:color w:val="000000"/>
                <w:sz w:val="16"/>
                <w:szCs w:val="16"/>
              </w:rPr>
            </w:pPr>
            <w:r w:rsidRPr="00B011EE">
              <w:rPr>
                <w:rFonts w:ascii="Calibri" w:hAnsi="Calibri" w:cs="Arial"/>
                <w:b/>
                <w:bCs/>
                <w:color w:val="000000"/>
                <w:sz w:val="16"/>
                <w:szCs w:val="16"/>
              </w:rPr>
              <w:t>↓</w:t>
            </w: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1938696</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12.67</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0.001</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Calibri" w:hAnsi="Calibri" w:cs="Arial"/>
                <w:b/>
                <w:bCs/>
                <w:color w:val="000000"/>
                <w:sz w:val="16"/>
                <w:szCs w:val="16"/>
              </w:rPr>
            </w:pPr>
            <w:r w:rsidRPr="00B011EE">
              <w:rPr>
                <w:rFonts w:ascii="Calibri" w:hAnsi="Calibri" w:cs="Arial"/>
                <w:b/>
                <w:bCs/>
                <w:color w:val="000000"/>
                <w:sz w:val="16"/>
                <w:szCs w:val="16"/>
              </w:rPr>
              <w:t>↑</w:t>
            </w: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Species</w:t>
            </w:r>
            <w:proofErr w:type="spellEnd"/>
            <w:r w:rsidRPr="00B011EE">
              <w:rPr>
                <w:rFonts w:ascii="Arial" w:hAnsi="Arial" w:cs="Arial"/>
                <w:color w:val="000000"/>
                <w:sz w:val="16"/>
                <w:szCs w:val="16"/>
              </w:rPr>
              <w:t xml:space="preserve"> </w:t>
            </w:r>
            <w:proofErr w:type="spellStart"/>
            <w:r w:rsidRPr="00B011EE">
              <w:rPr>
                <w:rFonts w:ascii="Arial" w:hAnsi="Arial" w:cs="Arial"/>
                <w:color w:val="000000"/>
                <w:sz w:val="16"/>
                <w:szCs w:val="16"/>
              </w:rPr>
              <w:t>richness</w:t>
            </w:r>
            <w:proofErr w:type="spellEnd"/>
            <w:r w:rsidRPr="00B011EE">
              <w:rPr>
                <w:rFonts w:ascii="Arial" w:hAnsi="Arial" w:cs="Arial"/>
                <w:color w:val="000000"/>
                <w:sz w:val="16"/>
                <w:szCs w:val="16"/>
              </w:rPr>
              <w:t xml:space="preserve"> (SR)</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0.034</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0.769</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152870</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1.00</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0.344</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lang w:val="en-US"/>
              </w:rPr>
            </w:pPr>
            <w:r w:rsidRPr="00B011EE">
              <w:rPr>
                <w:rFonts w:ascii="Arial" w:hAnsi="Arial" w:cs="Arial"/>
                <w:color w:val="000000"/>
                <w:sz w:val="16"/>
                <w:szCs w:val="16"/>
                <w:lang w:val="en-US"/>
              </w:rPr>
              <w:t>Functional group identity (FG-ID)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3.779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10.19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0.033</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429821</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2.81</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0.173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lang w:val="en-US"/>
              </w:rPr>
            </w:pPr>
            <w:r w:rsidRPr="00B011EE">
              <w:rPr>
                <w:rFonts w:ascii="Arial" w:hAnsi="Arial" w:cs="Arial"/>
                <w:color w:val="000000"/>
                <w:sz w:val="16"/>
                <w:szCs w:val="16"/>
                <w:lang w:val="en-US"/>
              </w:rPr>
              <w:t>Growth stature identity (GS-ID)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14.305</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38.56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Calibri" w:hAnsi="Calibri" w:cs="Arial"/>
                <w:b/>
                <w:bCs/>
                <w:color w:val="000000"/>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3517856</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23.00</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0.010</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Calibri" w:hAnsi="Calibri" w:cs="Arial"/>
                <w:b/>
                <w:bCs/>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r w:rsidRPr="00B011EE">
              <w:rPr>
                <w:rFonts w:ascii="Arial" w:hAnsi="Arial" w:cs="Arial"/>
                <w:color w:val="000000"/>
                <w:sz w:val="16"/>
                <w:szCs w:val="16"/>
              </w:rPr>
              <w:t xml:space="preserve"> x </w:t>
            </w:r>
            <w:proofErr w:type="spellStart"/>
            <w:r w:rsidRPr="00B011EE">
              <w:rPr>
                <w:rFonts w:ascii="Arial" w:hAnsi="Arial" w:cs="Arial"/>
                <w:color w:val="000000"/>
                <w:sz w:val="16"/>
                <w:szCs w:val="16"/>
              </w:rPr>
              <w:t>Fertilizer</w:t>
            </w:r>
            <w:proofErr w:type="spellEnd"/>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0.066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0.18</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0.675</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1446948</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9.46</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r w:rsidRPr="00B011EE">
              <w:rPr>
                <w:rFonts w:ascii="Arial" w:hAnsi="Arial" w:cs="Arial"/>
                <w:color w:val="000000"/>
                <w:sz w:val="16"/>
                <w:szCs w:val="16"/>
              </w:rPr>
              <w:t>FG-ID x GS-ID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1.183</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3.19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0.148</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103986</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0.68</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0.458</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r w:rsidRPr="00B011EE">
              <w:rPr>
                <w:rFonts w:ascii="Arial" w:hAnsi="Arial" w:cs="Arial"/>
                <w:color w:val="000000"/>
                <w:sz w:val="16"/>
                <w:szCs w:val="16"/>
              </w:rPr>
              <w:t xml:space="preserve"> x SR</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0.516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1.39</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0.250</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3915</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0.03</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0.873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Fertilizer</w:t>
            </w:r>
            <w:proofErr w:type="spellEnd"/>
            <w:r w:rsidRPr="00B011EE">
              <w:rPr>
                <w:rFonts w:ascii="Arial" w:hAnsi="Arial" w:cs="Arial"/>
                <w:color w:val="000000"/>
                <w:sz w:val="16"/>
                <w:szCs w:val="16"/>
              </w:rPr>
              <w:t xml:space="preserve"> x SR</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0.001</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&lt;0.001</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0.951</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311203</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2.03</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0.156</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r w:rsidRPr="00B011EE">
              <w:rPr>
                <w:rFonts w:ascii="Arial" w:hAnsi="Arial" w:cs="Arial"/>
                <w:color w:val="000000"/>
                <w:sz w:val="16"/>
                <w:szCs w:val="16"/>
              </w:rPr>
              <w:t xml:space="preserve"> x FG-ID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6.066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16.35</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&lt;0.001</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1354026</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8.85</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Fertilizer</w:t>
            </w:r>
            <w:proofErr w:type="spellEnd"/>
            <w:r w:rsidRPr="00B011EE">
              <w:rPr>
                <w:rFonts w:ascii="Arial" w:hAnsi="Arial" w:cs="Arial"/>
                <w:color w:val="000000"/>
                <w:sz w:val="16"/>
                <w:szCs w:val="16"/>
              </w:rPr>
              <w:t xml:space="preserve"> x FG-ID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0.676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1.82</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0.180</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1445873</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9.45</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r w:rsidRPr="00B011EE">
              <w:rPr>
                <w:rFonts w:ascii="Arial" w:hAnsi="Arial" w:cs="Arial"/>
                <w:color w:val="000000"/>
                <w:sz w:val="16"/>
                <w:szCs w:val="16"/>
              </w:rPr>
              <w:t xml:space="preserve"> x GS-ID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1.980</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5.34</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0.023</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1918993</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12.55</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0.001</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Fertilizer</w:t>
            </w:r>
            <w:proofErr w:type="spellEnd"/>
            <w:r w:rsidRPr="00B011EE">
              <w:rPr>
                <w:rFonts w:ascii="Arial" w:hAnsi="Arial" w:cs="Arial"/>
                <w:color w:val="000000"/>
                <w:sz w:val="16"/>
                <w:szCs w:val="16"/>
              </w:rPr>
              <w:t xml:space="preserve"> x GS-ID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0.021</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0.06</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0.814</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765562</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5.01</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0.027</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r w:rsidRPr="00B011EE">
              <w:rPr>
                <w:rFonts w:ascii="Arial" w:hAnsi="Arial" w:cs="Arial"/>
                <w:color w:val="000000"/>
                <w:sz w:val="16"/>
                <w:szCs w:val="16"/>
              </w:rPr>
              <w:t xml:space="preserve"> x </w:t>
            </w:r>
            <w:proofErr w:type="spellStart"/>
            <w:r w:rsidRPr="00B011EE">
              <w:rPr>
                <w:rFonts w:ascii="Arial" w:hAnsi="Arial" w:cs="Arial"/>
                <w:color w:val="000000"/>
                <w:sz w:val="16"/>
                <w:szCs w:val="16"/>
              </w:rPr>
              <w:t>Fertilizer</w:t>
            </w:r>
            <w:proofErr w:type="spellEnd"/>
            <w:r w:rsidRPr="00B011EE">
              <w:rPr>
                <w:rFonts w:ascii="Arial" w:hAnsi="Arial" w:cs="Arial"/>
                <w:color w:val="000000"/>
                <w:sz w:val="16"/>
                <w:szCs w:val="16"/>
              </w:rPr>
              <w:t xml:space="preserve"> x SR</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0.111</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0.30</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0.589</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107425</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0.70</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0.404</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nil"/>
              <w:right w:val="nil"/>
            </w:tcBorders>
            <w:shd w:val="clear" w:color="auto" w:fill="auto"/>
            <w:noWrap/>
            <w:vAlign w:val="center"/>
            <w:hideMark/>
          </w:tcPr>
          <w:p w:rsidR="004F252A" w:rsidRPr="00B011EE" w:rsidRDefault="004F252A" w:rsidP="00EA3225">
            <w:pPr>
              <w:rPr>
                <w:rFonts w:ascii="Arial" w:hAnsi="Arial" w:cs="Arial"/>
                <w:color w:val="000000"/>
                <w:sz w:val="16"/>
                <w:szCs w:val="16"/>
              </w:rPr>
            </w:pPr>
            <w:proofErr w:type="spellStart"/>
            <w:r w:rsidRPr="00B011EE">
              <w:rPr>
                <w:rFonts w:ascii="Arial" w:hAnsi="Arial" w:cs="Arial"/>
                <w:color w:val="000000"/>
                <w:sz w:val="16"/>
                <w:szCs w:val="16"/>
              </w:rPr>
              <w:t>Shade</w:t>
            </w:r>
            <w:proofErr w:type="spellEnd"/>
            <w:r w:rsidRPr="00B011EE">
              <w:rPr>
                <w:rFonts w:ascii="Arial" w:hAnsi="Arial" w:cs="Arial"/>
                <w:color w:val="000000"/>
                <w:sz w:val="16"/>
                <w:szCs w:val="16"/>
              </w:rPr>
              <w:t xml:space="preserve"> x </w:t>
            </w:r>
            <w:proofErr w:type="spellStart"/>
            <w:r w:rsidRPr="00B011EE">
              <w:rPr>
                <w:rFonts w:ascii="Arial" w:hAnsi="Arial" w:cs="Arial"/>
                <w:color w:val="000000"/>
                <w:sz w:val="16"/>
                <w:szCs w:val="16"/>
              </w:rPr>
              <w:t>Fertilizer</w:t>
            </w:r>
            <w:proofErr w:type="spellEnd"/>
            <w:r w:rsidRPr="00B011EE">
              <w:rPr>
                <w:rFonts w:ascii="Arial" w:hAnsi="Arial" w:cs="Arial"/>
                <w:color w:val="000000"/>
                <w:sz w:val="16"/>
                <w:szCs w:val="16"/>
              </w:rPr>
              <w:t xml:space="preserve"> x FG-ID</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0.101</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0.27</w:t>
            </w:r>
          </w:p>
        </w:tc>
        <w:tc>
          <w:tcPr>
            <w:tcW w:w="74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0.603</w:t>
            </w:r>
          </w:p>
        </w:tc>
        <w:tc>
          <w:tcPr>
            <w:tcW w:w="280" w:type="dxa"/>
            <w:tcBorders>
              <w:top w:val="nil"/>
              <w:left w:val="nil"/>
              <w:bottom w:val="nil"/>
              <w:right w:val="nil"/>
            </w:tcBorders>
            <w:shd w:val="clear" w:color="auto" w:fill="auto"/>
            <w:noWrap/>
            <w:vAlign w:val="bottom"/>
            <w:hideMark/>
          </w:tcPr>
          <w:p w:rsidR="004F252A" w:rsidRPr="00B011EE" w:rsidRDefault="004F252A" w:rsidP="00EA3225">
            <w:pPr>
              <w:rPr>
                <w:rFonts w:ascii="Arial" w:hAnsi="Arial" w:cs="Arial"/>
                <w:sz w:val="16"/>
                <w:szCs w:val="16"/>
              </w:rPr>
            </w:pPr>
          </w:p>
        </w:tc>
        <w:tc>
          <w:tcPr>
            <w:tcW w:w="957"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412484</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2.70</w:t>
            </w:r>
          </w:p>
        </w:tc>
        <w:tc>
          <w:tcPr>
            <w:tcW w:w="632"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0.103</w:t>
            </w:r>
          </w:p>
        </w:tc>
        <w:tc>
          <w:tcPr>
            <w:tcW w:w="280" w:type="dxa"/>
            <w:tcBorders>
              <w:top w:val="nil"/>
              <w:left w:val="nil"/>
              <w:bottom w:val="nil"/>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p>
        </w:tc>
      </w:tr>
      <w:tr w:rsidR="004F252A" w:rsidRPr="00B011EE" w:rsidTr="00EA3225">
        <w:trPr>
          <w:trHeight w:val="300"/>
        </w:trPr>
        <w:tc>
          <w:tcPr>
            <w:tcW w:w="2500" w:type="dxa"/>
            <w:tcBorders>
              <w:top w:val="nil"/>
              <w:left w:val="nil"/>
              <w:bottom w:val="single" w:sz="4" w:space="0" w:color="auto"/>
              <w:right w:val="nil"/>
            </w:tcBorders>
            <w:shd w:val="clear" w:color="auto" w:fill="auto"/>
            <w:noWrap/>
            <w:vAlign w:val="center"/>
            <w:hideMark/>
          </w:tcPr>
          <w:p w:rsidR="004F252A" w:rsidRPr="00B011EE" w:rsidRDefault="004F252A" w:rsidP="00EA3225">
            <w:pPr>
              <w:rPr>
                <w:rFonts w:ascii="Arial" w:hAnsi="Arial" w:cs="Arial"/>
                <w:color w:val="000000"/>
                <w:sz w:val="16"/>
                <w:szCs w:val="16"/>
                <w:lang w:val="en-US"/>
              </w:rPr>
            </w:pPr>
            <w:r w:rsidRPr="00B011EE">
              <w:rPr>
                <w:rFonts w:ascii="Arial" w:hAnsi="Arial" w:cs="Arial"/>
                <w:color w:val="000000"/>
                <w:sz w:val="16"/>
                <w:szCs w:val="16"/>
                <w:lang w:val="en-US"/>
              </w:rPr>
              <w:t>Shade x Fertilizer x GS-ID</w:t>
            </w:r>
          </w:p>
        </w:tc>
        <w:tc>
          <w:tcPr>
            <w:tcW w:w="280"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1</w:t>
            </w:r>
          </w:p>
        </w:tc>
        <w:tc>
          <w:tcPr>
            <w:tcW w:w="736"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0.101</w:t>
            </w:r>
          </w:p>
        </w:tc>
        <w:tc>
          <w:tcPr>
            <w:tcW w:w="742"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0.27</w:t>
            </w:r>
          </w:p>
        </w:tc>
        <w:tc>
          <w:tcPr>
            <w:tcW w:w="742"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0.603</w:t>
            </w:r>
          </w:p>
        </w:tc>
        <w:tc>
          <w:tcPr>
            <w:tcW w:w="280" w:type="dxa"/>
            <w:tcBorders>
              <w:top w:val="nil"/>
              <w:left w:val="nil"/>
              <w:bottom w:val="single" w:sz="4" w:space="0" w:color="auto"/>
              <w:right w:val="nil"/>
            </w:tcBorders>
            <w:shd w:val="clear" w:color="auto" w:fill="auto"/>
            <w:noWrap/>
            <w:vAlign w:val="bottom"/>
            <w:hideMark/>
          </w:tcPr>
          <w:p w:rsidR="004F252A" w:rsidRPr="00B011EE" w:rsidRDefault="004F252A" w:rsidP="00EA3225">
            <w:pPr>
              <w:rPr>
                <w:rFonts w:ascii="Arial" w:hAnsi="Arial" w:cs="Arial"/>
                <w:sz w:val="16"/>
                <w:szCs w:val="16"/>
              </w:rPr>
            </w:pPr>
            <w:r w:rsidRPr="00B011EE">
              <w:rPr>
                <w:rFonts w:ascii="Arial" w:hAnsi="Arial" w:cs="Arial"/>
                <w:sz w:val="16"/>
                <w:szCs w:val="16"/>
              </w:rPr>
              <w:t> </w:t>
            </w:r>
          </w:p>
        </w:tc>
        <w:tc>
          <w:tcPr>
            <w:tcW w:w="957"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857499</w:t>
            </w:r>
          </w:p>
        </w:tc>
        <w:tc>
          <w:tcPr>
            <w:tcW w:w="632"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5.61</w:t>
            </w:r>
          </w:p>
        </w:tc>
        <w:tc>
          <w:tcPr>
            <w:tcW w:w="632"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b/>
                <w:bCs/>
                <w:color w:val="000000"/>
                <w:sz w:val="16"/>
                <w:szCs w:val="16"/>
              </w:rPr>
            </w:pPr>
            <w:r w:rsidRPr="00B011EE">
              <w:rPr>
                <w:rFonts w:ascii="Arial" w:hAnsi="Arial" w:cs="Arial"/>
                <w:b/>
                <w:bCs/>
                <w:color w:val="000000"/>
                <w:sz w:val="16"/>
                <w:szCs w:val="16"/>
              </w:rPr>
              <w:t>0.019</w:t>
            </w:r>
          </w:p>
        </w:tc>
        <w:tc>
          <w:tcPr>
            <w:tcW w:w="280" w:type="dxa"/>
            <w:tcBorders>
              <w:top w:val="nil"/>
              <w:left w:val="nil"/>
              <w:bottom w:val="single" w:sz="4" w:space="0" w:color="auto"/>
              <w:right w:val="nil"/>
            </w:tcBorders>
            <w:shd w:val="clear" w:color="auto" w:fill="auto"/>
            <w:noWrap/>
            <w:vAlign w:val="center"/>
            <w:hideMark/>
          </w:tcPr>
          <w:p w:rsidR="004F252A" w:rsidRPr="00B011EE" w:rsidRDefault="004F252A" w:rsidP="00EA3225">
            <w:pPr>
              <w:jc w:val="right"/>
              <w:rPr>
                <w:rFonts w:ascii="Arial" w:hAnsi="Arial" w:cs="Arial"/>
                <w:color w:val="000000"/>
                <w:sz w:val="16"/>
                <w:szCs w:val="16"/>
              </w:rPr>
            </w:pPr>
            <w:r w:rsidRPr="00B011EE">
              <w:rPr>
                <w:rFonts w:ascii="Arial" w:hAnsi="Arial" w:cs="Arial"/>
                <w:color w:val="000000"/>
                <w:sz w:val="16"/>
                <w:szCs w:val="16"/>
              </w:rPr>
              <w:t> </w:t>
            </w:r>
          </w:p>
        </w:tc>
      </w:tr>
    </w:tbl>
    <w:p w:rsidR="00294989" w:rsidRPr="004F252A" w:rsidRDefault="004F252A" w:rsidP="001D6353">
      <w:pPr>
        <w:widowControl w:val="0"/>
        <w:spacing w:before="120"/>
        <w:jc w:val="both"/>
        <w:rPr>
          <w:lang w:val="en-AU"/>
        </w:rPr>
      </w:pPr>
      <w:r w:rsidRPr="002D774A">
        <w:rPr>
          <w:lang w:val="en-GB"/>
        </w:rPr>
        <w:t>Species biomasses (</w:t>
      </w:r>
      <w:proofErr w:type="spellStart"/>
      <w:r w:rsidRPr="002D774A">
        <w:rPr>
          <w:lang w:val="en-GB"/>
        </w:rPr>
        <w:t>BM</w:t>
      </w:r>
      <w:r w:rsidRPr="002D774A">
        <w:rPr>
          <w:vertAlign w:val="subscript"/>
          <w:lang w:val="en-GB"/>
        </w:rPr>
        <w:t>i</w:t>
      </w:r>
      <w:proofErr w:type="spellEnd"/>
      <w:r w:rsidRPr="002D774A">
        <w:rPr>
          <w:lang w:val="en-GB"/>
        </w:rPr>
        <w:t>) and relative yields (</w:t>
      </w:r>
      <w:proofErr w:type="spellStart"/>
      <w:r w:rsidRPr="002D774A">
        <w:rPr>
          <w:lang w:val="en-GB"/>
        </w:rPr>
        <w:t>RY</w:t>
      </w:r>
      <w:r w:rsidRPr="002D774A">
        <w:rPr>
          <w:vertAlign w:val="subscript"/>
          <w:lang w:val="en-GB"/>
        </w:rPr>
        <w:t>i</w:t>
      </w:r>
      <w:proofErr w:type="spellEnd"/>
      <w:r w:rsidRPr="002D774A">
        <w:rPr>
          <w:lang w:val="en-GB"/>
        </w:rPr>
        <w:t xml:space="preserve">) were multiplied by the number of sown species in the mixtures prior to statistical analyses to account for decreasing sown proportions of individual species at increasing species richness. </w:t>
      </w:r>
      <w:r w:rsidRPr="002D774A">
        <w:rPr>
          <w:lang w:val="en-AU"/>
        </w:rPr>
        <w:t xml:space="preserve">Approximate F statistics (type I SS using </w:t>
      </w:r>
      <w:proofErr w:type="spellStart"/>
      <w:r w:rsidRPr="002D774A">
        <w:rPr>
          <w:lang w:val="en-AU"/>
        </w:rPr>
        <w:t>Kenward</w:t>
      </w:r>
      <w:proofErr w:type="spellEnd"/>
      <w:r w:rsidRPr="002D774A">
        <w:rPr>
          <w:lang w:val="en-AU"/>
        </w:rPr>
        <w:t>-Roger degrees of freedom approximation) was used to assess model improvement and the statistical significance of the fixed effects (p values). Significant effects are marked in bold. Arrows indicate an increase (</w:t>
      </w:r>
      <w:r w:rsidRPr="002D774A">
        <w:rPr>
          <w:bCs/>
          <w:lang w:val="en-US"/>
        </w:rPr>
        <w:t xml:space="preserve">↑) or decrease (↓) of the studied variable with shading or fertilizer addition. </w:t>
      </w:r>
      <w:r w:rsidRPr="002D774A">
        <w:rPr>
          <w:lang w:val="en-AU"/>
        </w:rPr>
        <w:t>Note that analyses of species biomass included the monocultures, while relative yields refer to the mixtures.</w:t>
      </w:r>
      <w:bookmarkStart w:id="0" w:name="_GoBack"/>
      <w:bookmarkEnd w:id="0"/>
    </w:p>
    <w:sectPr w:rsidR="00294989" w:rsidRPr="004F25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2A"/>
    <w:rsid w:val="001D6353"/>
    <w:rsid w:val="00294989"/>
    <w:rsid w:val="004F2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5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5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Roscher</dc:creator>
  <cp:lastModifiedBy>Christiane Roscher</cp:lastModifiedBy>
  <cp:revision>2</cp:revision>
  <dcterms:created xsi:type="dcterms:W3CDTF">2016-06-03T16:16:00Z</dcterms:created>
  <dcterms:modified xsi:type="dcterms:W3CDTF">2016-06-03T16:22:00Z</dcterms:modified>
</cp:coreProperties>
</file>