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87" w:rsidRPr="00BE0087" w:rsidRDefault="00435BB5" w:rsidP="00BE0087">
      <w:pPr>
        <w:widowControl/>
        <w:shd w:val="clear" w:color="auto" w:fill="FFFFFF"/>
        <w:overflowPunct/>
        <w:adjustRightInd/>
        <w:spacing w:after="0" w:line="154" w:lineRule="atLeast"/>
        <w:rPr>
          <w:rFonts w:ascii="Arial" w:hAnsi="Arial" w:cs="Arial"/>
          <w:color w:val="333333"/>
          <w:kern w:val="0"/>
          <w:lang w:val="en-US"/>
        </w:rPr>
      </w:pPr>
      <w:r>
        <w:rPr>
          <w:rFonts w:ascii="Arial" w:eastAsia="ヒラギノ角ゴ Pro W3" w:hAnsi="Arial" w:cs="Arial"/>
          <w:color w:val="000000"/>
          <w:kern w:val="1"/>
          <w:lang w:val="en-GB"/>
        </w:rPr>
        <w:t>S</w:t>
      </w:r>
      <w:r w:rsidRPr="00BE0087">
        <w:rPr>
          <w:rFonts w:ascii="Arial" w:eastAsia="ヒラギノ角ゴ Pro W3" w:hAnsi="Arial" w:cs="Arial"/>
          <w:color w:val="000000"/>
          <w:kern w:val="1"/>
          <w:lang w:val="en-GB"/>
        </w:rPr>
        <w:t>2</w:t>
      </w:r>
      <w:r>
        <w:rPr>
          <w:rFonts w:ascii="Arial" w:eastAsia="ヒラギノ角ゴ Pro W3" w:hAnsi="Arial" w:cs="Arial"/>
          <w:color w:val="000000"/>
          <w:kern w:val="1"/>
          <w:lang w:val="en-GB"/>
        </w:rPr>
        <w:t xml:space="preserve"> table </w:t>
      </w:r>
      <w:r w:rsidR="00BE0087" w:rsidRPr="00BE0087">
        <w:rPr>
          <w:rFonts w:ascii="Arial" w:eastAsia="ヒラギノ角ゴ Pro W3" w:hAnsi="Arial" w:cs="Arial"/>
          <w:color w:val="000000"/>
          <w:kern w:val="1"/>
          <w:lang w:val="en-GB"/>
        </w:rPr>
        <w:t xml:space="preserve">: </w:t>
      </w:r>
      <w:r w:rsidR="00BE0087" w:rsidRPr="00BE0087">
        <w:rPr>
          <w:rFonts w:ascii="Arial" w:hAnsi="Arial" w:cs="Arial"/>
          <w:noProof/>
          <w:lang w:val="en-US"/>
        </w:rPr>
        <w:t xml:space="preserve">Parameter values use in the Marko simulation (for </w:t>
      </w:r>
      <w:r w:rsidR="00BE0087" w:rsidRPr="00BE0087">
        <w:rPr>
          <w:rFonts w:ascii="Arial" w:hAnsi="Arial" w:cs="Arial"/>
          <w:color w:val="333333"/>
          <w:kern w:val="0"/>
          <w:lang w:val="en-US"/>
        </w:rPr>
        <w:t>Initial age distributions (% of patients) of English COPD smoking patients according to severity, Probability of Death of a COPD patient according to age, smoking status, and severity,  Transition probabilities from a severity stage to the next</w:t>
      </w:r>
      <w:r>
        <w:rPr>
          <w:rFonts w:ascii="Arial" w:hAnsi="Arial" w:cs="Arial"/>
          <w:color w:val="333333"/>
          <w:kern w:val="0"/>
          <w:lang w:val="en-US"/>
        </w:rPr>
        <w:t xml:space="preserve"> (</w:t>
      </w:r>
      <w:bookmarkStart w:id="0" w:name="_GoBack"/>
      <w:bookmarkEnd w:id="0"/>
      <w:r w:rsidR="00BE0087" w:rsidRPr="00BE0087">
        <w:rPr>
          <w:rFonts w:ascii="Arial" w:hAnsi="Arial" w:cs="Arial"/>
          <w:color w:val="333333"/>
          <w:kern w:val="0"/>
          <w:lang w:val="en-US"/>
        </w:rPr>
        <w:t>see supportive information of  reference 22)</w:t>
      </w:r>
    </w:p>
    <w:p w:rsidR="00BE0087" w:rsidRPr="0066105A" w:rsidRDefault="00BE0087" w:rsidP="00BE0087">
      <w:pPr>
        <w:widowControl/>
        <w:shd w:val="clear" w:color="auto" w:fill="FFFFFF"/>
        <w:overflowPunct/>
        <w:adjustRightInd/>
        <w:spacing w:after="0" w:line="154" w:lineRule="atLeast"/>
        <w:rPr>
          <w:rFonts w:ascii="inherit" w:hAnsi="inherit" w:cs="Arial"/>
          <w:color w:val="333333"/>
          <w:kern w:val="0"/>
          <w:sz w:val="15"/>
          <w:szCs w:val="15"/>
          <w:lang w:val="en-US"/>
        </w:rPr>
      </w:pPr>
    </w:p>
    <w:p w:rsidR="0066105A" w:rsidRDefault="0066105A" w:rsidP="00E10497">
      <w:pPr>
        <w:widowControl/>
        <w:overflowPunct/>
        <w:adjustRightInd/>
        <w:spacing w:after="200" w:line="276" w:lineRule="auto"/>
        <w:rPr>
          <w:noProof/>
          <w:lang w:val="en-US"/>
        </w:rPr>
      </w:pPr>
    </w:p>
    <w:tbl>
      <w:tblPr>
        <w:tblStyle w:val="Grilledutableau"/>
        <w:tblW w:w="9924" w:type="dxa"/>
        <w:tblInd w:w="-459" w:type="dxa"/>
        <w:tblLook w:val="04A0" w:firstRow="1" w:lastRow="0" w:firstColumn="1" w:lastColumn="0" w:noHBand="0" w:noVBand="1"/>
      </w:tblPr>
      <w:tblGrid>
        <w:gridCol w:w="4962"/>
        <w:gridCol w:w="1275"/>
        <w:gridCol w:w="1134"/>
        <w:gridCol w:w="1277"/>
        <w:gridCol w:w="1276"/>
      </w:tblGrid>
      <w:tr w:rsidR="008D6A18" w:rsidTr="00444031">
        <w:tc>
          <w:tcPr>
            <w:tcW w:w="4962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Parameter</w:t>
            </w:r>
          </w:p>
        </w:tc>
        <w:tc>
          <w:tcPr>
            <w:tcW w:w="1275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Gold 1</w:t>
            </w:r>
          </w:p>
        </w:tc>
        <w:tc>
          <w:tcPr>
            <w:tcW w:w="1134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Gold 2</w:t>
            </w:r>
          </w:p>
        </w:tc>
        <w:tc>
          <w:tcPr>
            <w:tcW w:w="1277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Gold 3</w:t>
            </w:r>
          </w:p>
        </w:tc>
        <w:tc>
          <w:tcPr>
            <w:tcW w:w="1276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Gold 4</w:t>
            </w:r>
          </w:p>
        </w:tc>
      </w:tr>
      <w:tr w:rsidR="008D6A18" w:rsidTr="00444031">
        <w:tc>
          <w:tcPr>
            <w:tcW w:w="4962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COPD severity distrubition (% of patients</w:t>
            </w:r>
            <w:r w:rsidR="00444031">
              <w:rPr>
                <w:noProof/>
                <w:lang w:val="en-US"/>
              </w:rPr>
              <w:t>)</w:t>
            </w:r>
          </w:p>
        </w:tc>
        <w:tc>
          <w:tcPr>
            <w:tcW w:w="1275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35.08</w:t>
            </w:r>
          </w:p>
        </w:tc>
        <w:tc>
          <w:tcPr>
            <w:tcW w:w="1134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48.17</w:t>
            </w:r>
          </w:p>
        </w:tc>
        <w:tc>
          <w:tcPr>
            <w:tcW w:w="1277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13.6</w:t>
            </w:r>
          </w:p>
        </w:tc>
        <w:tc>
          <w:tcPr>
            <w:tcW w:w="1276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2.79</w:t>
            </w:r>
          </w:p>
        </w:tc>
      </w:tr>
      <w:tr w:rsidR="008D6A18" w:rsidTr="00444031">
        <w:tc>
          <w:tcPr>
            <w:tcW w:w="4962" w:type="dxa"/>
          </w:tcPr>
          <w:p w:rsidR="008D6A18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Annual smoking transition rates (% of patients)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Quit smoking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Resume smoking</w:t>
            </w:r>
          </w:p>
        </w:tc>
        <w:tc>
          <w:tcPr>
            <w:tcW w:w="1275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4.7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2.6</w:t>
            </w:r>
          </w:p>
        </w:tc>
        <w:tc>
          <w:tcPr>
            <w:tcW w:w="1134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4.7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2.6</w:t>
            </w:r>
          </w:p>
        </w:tc>
        <w:tc>
          <w:tcPr>
            <w:tcW w:w="1277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4.7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2.6</w:t>
            </w:r>
          </w:p>
        </w:tc>
        <w:tc>
          <w:tcPr>
            <w:tcW w:w="1276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4.7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2.6</w:t>
            </w:r>
          </w:p>
        </w:tc>
      </w:tr>
      <w:tr w:rsidR="008D6A18" w:rsidTr="00444031">
        <w:tc>
          <w:tcPr>
            <w:tcW w:w="4962" w:type="dxa"/>
          </w:tcPr>
          <w:p w:rsidR="008D6A18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Exacerbation rates (% of patients) 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 exacerbation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≥ </w:t>
            </w:r>
            <w:r w:rsidR="00C11221">
              <w:rPr>
                <w:noProof/>
                <w:lang w:val="en-US"/>
              </w:rPr>
              <w:t xml:space="preserve">1 </w:t>
            </w:r>
            <w:r>
              <w:rPr>
                <w:noProof/>
                <w:lang w:val="en-US"/>
              </w:rPr>
              <w:t>exacerbation</w:t>
            </w:r>
          </w:p>
        </w:tc>
        <w:tc>
          <w:tcPr>
            <w:tcW w:w="1275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75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60.55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39.45</w:t>
            </w:r>
          </w:p>
        </w:tc>
        <w:tc>
          <w:tcPr>
            <w:tcW w:w="1277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55.90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44.10</w:t>
            </w:r>
          </w:p>
        </w:tc>
        <w:tc>
          <w:tcPr>
            <w:tcW w:w="1276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34.30</w:t>
            </w:r>
          </w:p>
          <w:p w:rsidR="00444031" w:rsidRDefault="0044403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65.70</w:t>
            </w:r>
          </w:p>
        </w:tc>
      </w:tr>
      <w:tr w:rsidR="008D6A18" w:rsidTr="00444031">
        <w:tc>
          <w:tcPr>
            <w:tcW w:w="4962" w:type="dxa"/>
          </w:tcPr>
          <w:p w:rsidR="008D6A18" w:rsidRDefault="00EA557D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Health utility (QALY)</w:t>
            </w:r>
          </w:p>
          <w:p w:rsidR="00EA557D" w:rsidRDefault="00EA557D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 exacerbation</w:t>
            </w:r>
          </w:p>
          <w:p w:rsidR="00EA557D" w:rsidRDefault="00EA557D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≥ </w:t>
            </w:r>
            <w:r w:rsidR="00C11221">
              <w:rPr>
                <w:noProof/>
                <w:lang w:val="en-US"/>
              </w:rPr>
              <w:t xml:space="preserve">1 </w:t>
            </w:r>
            <w:r>
              <w:rPr>
                <w:noProof/>
                <w:lang w:val="en-US"/>
              </w:rPr>
              <w:t>exacerbation</w:t>
            </w:r>
          </w:p>
        </w:tc>
        <w:tc>
          <w:tcPr>
            <w:tcW w:w="1275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C11221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0.897</w:t>
            </w:r>
          </w:p>
          <w:p w:rsidR="00C11221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0.985</w:t>
            </w:r>
          </w:p>
        </w:tc>
        <w:tc>
          <w:tcPr>
            <w:tcW w:w="1134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C11221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0.755</w:t>
            </w:r>
          </w:p>
          <w:p w:rsidR="00C11221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0.736</w:t>
            </w:r>
          </w:p>
        </w:tc>
        <w:tc>
          <w:tcPr>
            <w:tcW w:w="1277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C11221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0.749</w:t>
            </w:r>
          </w:p>
          <w:p w:rsidR="00C11221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0.726</w:t>
            </w:r>
          </w:p>
        </w:tc>
        <w:tc>
          <w:tcPr>
            <w:tcW w:w="1276" w:type="dxa"/>
          </w:tcPr>
          <w:p w:rsidR="008D6A18" w:rsidRDefault="008D6A18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</w:p>
          <w:p w:rsidR="00C11221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0.549</w:t>
            </w:r>
          </w:p>
          <w:p w:rsidR="00C11221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0.535</w:t>
            </w:r>
          </w:p>
        </w:tc>
      </w:tr>
      <w:tr w:rsidR="008D6A18" w:rsidTr="00444031">
        <w:tc>
          <w:tcPr>
            <w:tcW w:w="4962" w:type="dxa"/>
          </w:tcPr>
          <w:p w:rsidR="008D6A18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Annual cost of a COPD patients (euros) per year</w:t>
            </w:r>
          </w:p>
        </w:tc>
        <w:tc>
          <w:tcPr>
            <w:tcW w:w="1275" w:type="dxa"/>
          </w:tcPr>
          <w:p w:rsidR="008D6A18" w:rsidRDefault="00C11221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308</w:t>
            </w:r>
          </w:p>
        </w:tc>
        <w:tc>
          <w:tcPr>
            <w:tcW w:w="1134" w:type="dxa"/>
          </w:tcPr>
          <w:p w:rsidR="008D6A18" w:rsidRDefault="00BE0087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1016</w:t>
            </w:r>
          </w:p>
        </w:tc>
        <w:tc>
          <w:tcPr>
            <w:tcW w:w="1277" w:type="dxa"/>
          </w:tcPr>
          <w:p w:rsidR="008D6A18" w:rsidRDefault="00BE0087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5260</w:t>
            </w:r>
          </w:p>
        </w:tc>
        <w:tc>
          <w:tcPr>
            <w:tcW w:w="1276" w:type="dxa"/>
          </w:tcPr>
          <w:p w:rsidR="008D6A18" w:rsidRDefault="00BE0087" w:rsidP="00BE0087">
            <w:pPr>
              <w:widowControl/>
              <w:overflowPunct/>
              <w:adjustRightInd/>
              <w:spacing w:before="100" w:beforeAutospacing="1" w:after="100" w:afterAutospacing="1" w:line="360" w:lineRule="auto"/>
              <w:contextualSpacing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13258</w:t>
            </w:r>
          </w:p>
        </w:tc>
      </w:tr>
    </w:tbl>
    <w:p w:rsidR="0066105A" w:rsidRDefault="0066105A" w:rsidP="00E10497">
      <w:pPr>
        <w:widowControl/>
        <w:overflowPunct/>
        <w:adjustRightInd/>
        <w:spacing w:after="200" w:line="276" w:lineRule="auto"/>
        <w:rPr>
          <w:lang w:val="en-US"/>
        </w:rPr>
      </w:pPr>
    </w:p>
    <w:p w:rsidR="00AA3936" w:rsidRPr="00E10497" w:rsidRDefault="00AA3936" w:rsidP="00E10497">
      <w:pPr>
        <w:widowControl/>
        <w:overflowPunct/>
        <w:adjustRightInd/>
        <w:spacing w:after="200" w:line="276" w:lineRule="auto"/>
        <w:rPr>
          <w:lang w:val="en-US"/>
        </w:rPr>
      </w:pPr>
    </w:p>
    <w:sectPr w:rsidR="00AA3936" w:rsidRPr="00E10497" w:rsidSect="00A5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97"/>
    <w:rsid w:val="00033F9C"/>
    <w:rsid w:val="00046617"/>
    <w:rsid w:val="002C209E"/>
    <w:rsid w:val="003023D5"/>
    <w:rsid w:val="00353254"/>
    <w:rsid w:val="00435BB5"/>
    <w:rsid w:val="00444031"/>
    <w:rsid w:val="00534AFD"/>
    <w:rsid w:val="0066105A"/>
    <w:rsid w:val="00817675"/>
    <w:rsid w:val="008D6A18"/>
    <w:rsid w:val="00A55E82"/>
    <w:rsid w:val="00AA3936"/>
    <w:rsid w:val="00B10909"/>
    <w:rsid w:val="00B3660B"/>
    <w:rsid w:val="00BE0087"/>
    <w:rsid w:val="00BE6132"/>
    <w:rsid w:val="00C11221"/>
    <w:rsid w:val="00C202DF"/>
    <w:rsid w:val="00D51A0C"/>
    <w:rsid w:val="00D93F11"/>
    <w:rsid w:val="00DF5A8B"/>
    <w:rsid w:val="00E10497"/>
    <w:rsid w:val="00E47A95"/>
    <w:rsid w:val="00E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5834"/>
  <w15:docId w15:val="{0AB2BCFA-F661-4B22-89A0-3ED0093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0497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6105A"/>
    <w:pPr>
      <w:widowControl/>
      <w:overflowPunct/>
      <w:adjustRightInd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497"/>
    <w:rPr>
      <w:rFonts w:ascii="Tahoma" w:eastAsia="Times New Roman" w:hAnsi="Tahoma" w:cs="Tahoma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105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61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residoi">
    <w:name w:val="presidoi"/>
    <w:basedOn w:val="Normal"/>
    <w:rsid w:val="0066105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doi">
    <w:name w:val="sidoi"/>
    <w:basedOn w:val="Normal"/>
    <w:rsid w:val="0066105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ostsidoi">
    <w:name w:val="postsidoi"/>
    <w:basedOn w:val="Normal"/>
    <w:rsid w:val="0066105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59"/>
    <w:rsid w:val="008D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christos chouaid</cp:lastModifiedBy>
  <cp:revision>2</cp:revision>
  <cp:lastPrinted>2016-04-10T16:54:00Z</cp:lastPrinted>
  <dcterms:created xsi:type="dcterms:W3CDTF">2016-06-07T00:54:00Z</dcterms:created>
  <dcterms:modified xsi:type="dcterms:W3CDTF">2016-06-07T00:54:00Z</dcterms:modified>
</cp:coreProperties>
</file>