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4860CE" w14:textId="77777777" w:rsidR="00AE42E9" w:rsidRPr="009F1E2A" w:rsidRDefault="00AE42E9" w:rsidP="00AE42E9">
      <w:pPr>
        <w:ind w:right="-569" w:firstLine="0"/>
        <w:rPr>
          <w:color w:val="000000"/>
          <w:lang w:val="en-GB"/>
        </w:rPr>
      </w:pPr>
      <w:r w:rsidRPr="003D0928">
        <w:rPr>
          <w:b/>
          <w:color w:val="000000"/>
          <w:lang w:val="en-GB"/>
        </w:rPr>
        <w:t>S5</w:t>
      </w:r>
      <w:r>
        <w:rPr>
          <w:b/>
          <w:color w:val="000000"/>
          <w:lang w:val="en-GB"/>
        </w:rPr>
        <w:t xml:space="preserve"> File</w:t>
      </w:r>
      <w:r w:rsidRPr="003D0928">
        <w:rPr>
          <w:b/>
          <w:color w:val="000000"/>
          <w:lang w:val="en-GB"/>
        </w:rPr>
        <w:t>. Computation of the distribution of the OR.</w:t>
      </w:r>
    </w:p>
    <w:p w14:paraId="70B67A40" w14:textId="77777777" w:rsidR="00AE42E9" w:rsidRDefault="00AE42E9" w:rsidP="00AE42E9">
      <w:r>
        <w:t>We first condition on the set of loci</w:t>
      </w:r>
      <w:r w:rsidRPr="004254D3">
        <w:rPr>
          <w:position w:val="-6"/>
        </w:rPr>
        <w:object w:dxaOrig="200" w:dyaOrig="200" w14:anchorId="59865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.75pt" o:ole="">
            <v:imagedata r:id="rId4" o:title=""/>
          </v:shape>
          <o:OLEObject Type="Embed" ProgID="Equation.DSMT4" ShapeID="_x0000_i1025" DrawAspect="Content" ObjectID="_1526323597" r:id="rId5"/>
        </w:object>
      </w:r>
      <w:r w:rsidRPr="00772D4F">
        <w:t xml:space="preserve"> </w:t>
      </w:r>
      <w:r>
        <w:t xml:space="preserve">which have a prescribed RAF equal to </w:t>
      </w:r>
      <w:r w:rsidRPr="0097314F">
        <w:rPr>
          <w:i/>
        </w:rPr>
        <w:t>p</w:t>
      </w:r>
      <w:r>
        <w:t>. Then, we observe that</w:t>
      </w:r>
    </w:p>
    <w:p w14:paraId="237CEB07" w14:textId="77777777" w:rsidR="00AE42E9" w:rsidRDefault="00AE42E9" w:rsidP="00AE42E9">
      <w:pPr>
        <w:ind w:left="1416" w:firstLine="708"/>
        <w:rPr>
          <w:position w:val="-14"/>
        </w:rPr>
      </w:pPr>
      <w:r>
        <w:t xml:space="preserve"> </w:t>
      </w:r>
      <w:r w:rsidRPr="004254D3">
        <w:rPr>
          <w:position w:val="-12"/>
        </w:rPr>
        <w:object w:dxaOrig="1660" w:dyaOrig="320" w14:anchorId="10BFD82D">
          <v:shape id="_x0000_i1026" type="#_x0000_t75" style="width:105.8pt;height:21.05pt" o:ole="">
            <v:imagedata r:id="rId6" o:title=""/>
          </v:shape>
          <o:OLEObject Type="Embed" ProgID="Equation.DSMT4" ShapeID="_x0000_i1026" DrawAspect="Content" ObjectID="_1526323598" r:id="rId7"/>
        </w:object>
      </w:r>
      <w:r>
        <w:rPr>
          <w:position w:val="-14"/>
        </w:rPr>
        <w:t xml:space="preserve"> </w:t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>
        <w:rPr>
          <w:position w:val="-14"/>
        </w:rPr>
        <w:tab/>
      </w:r>
      <w:r w:rsidRPr="00963EC5">
        <w:rPr>
          <w:color w:val="000000"/>
        </w:rPr>
        <w:t>[</w:t>
      </w:r>
      <w:r>
        <w:rPr>
          <w:color w:val="000000"/>
        </w:rPr>
        <w:t>S</w:t>
      </w:r>
      <w:r w:rsidRPr="00963EC5">
        <w:rPr>
          <w:color w:val="000000"/>
        </w:rPr>
        <w:t>32]</w:t>
      </w:r>
    </w:p>
    <w:p w14:paraId="0A51361A" w14:textId="77777777" w:rsidR="00AE42E9" w:rsidRPr="008E47F5" w:rsidRDefault="00AE42E9" w:rsidP="00AE42E9">
      <w:pPr>
        <w:ind w:left="1416" w:hanging="1558"/>
      </w:pPr>
      <w:r w:rsidRPr="00A90160">
        <w:t>with</w:t>
      </w:r>
      <w:r>
        <w:t xml:space="preserve"> </w:t>
      </w:r>
      <w:r>
        <w:tab/>
      </w:r>
      <w:r>
        <w:tab/>
      </w:r>
      <w:r w:rsidRPr="003D5605">
        <w:rPr>
          <w:position w:val="-22"/>
        </w:rPr>
        <w:object w:dxaOrig="1920" w:dyaOrig="540" w14:anchorId="2AD4DE70">
          <v:shape id="_x0000_i1027" type="#_x0000_t75" style="width:145.1pt;height:42.1pt" o:ole="">
            <v:imagedata r:id="rId8" o:title=""/>
          </v:shape>
          <o:OLEObject Type="Embed" ProgID="Equation.DSMT4" ShapeID="_x0000_i1027" DrawAspect="Content" ObjectID="_1526323599" r:id="rId9"/>
        </w:object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>
        <w:rPr>
          <w:position w:val="-12"/>
        </w:rPr>
        <w:tab/>
      </w:r>
      <w:r w:rsidRPr="00963EC5">
        <w:rPr>
          <w:color w:val="000000"/>
        </w:rPr>
        <w:t>[</w:t>
      </w:r>
      <w:r>
        <w:rPr>
          <w:color w:val="000000"/>
        </w:rPr>
        <w:t>S</w:t>
      </w:r>
      <w:r w:rsidRPr="00963EC5">
        <w:rPr>
          <w:color w:val="000000"/>
        </w:rPr>
        <w:t>33]</w:t>
      </w:r>
    </w:p>
    <w:p w14:paraId="68952CA7" w14:textId="77777777" w:rsidR="00AE42E9" w:rsidRDefault="00AE42E9" w:rsidP="00AE42E9">
      <w:r w:rsidRPr="00AB65A0">
        <w:t xml:space="preserve">Therefore, if </w:t>
      </w:r>
      <w:r w:rsidRPr="004C3353">
        <w:rPr>
          <w:position w:val="-8"/>
        </w:rPr>
        <w:object w:dxaOrig="560" w:dyaOrig="240" w14:anchorId="436628FB">
          <v:shape id="_x0000_i1028" type="#_x0000_t75" style="width:36pt;height:14.95pt" o:ole="">
            <v:imagedata r:id="rId10" o:title=""/>
          </v:shape>
          <o:OLEObject Type="Embed" ProgID="Equation.DSMT4" ShapeID="_x0000_i1028" DrawAspect="Content" ObjectID="_1526323600" r:id="rId11"/>
        </w:object>
      </w:r>
      <w:r w:rsidRPr="00A90160">
        <w:t xml:space="preserve">is distributed according to </w:t>
      </w:r>
      <w:r>
        <w:t xml:space="preserve">some probability density </w:t>
      </w:r>
      <w:r w:rsidRPr="004C3353">
        <w:rPr>
          <w:position w:val="-12"/>
        </w:rPr>
        <w:object w:dxaOrig="240" w:dyaOrig="300" w14:anchorId="413F0B29">
          <v:shape id="_x0000_i1029" type="#_x0000_t75" style="width:14.95pt;height:21.05pt" o:ole="">
            <v:imagedata r:id="rId12" o:title=""/>
          </v:shape>
          <o:OLEObject Type="Embed" ProgID="Equation.DSMT4" ShapeID="_x0000_i1029" DrawAspect="Content" ObjectID="_1526323601" r:id="rId13"/>
        </w:object>
      </w:r>
      <w:r w:rsidRPr="00AB65A0">
        <w:t xml:space="preserve"> then, applying the change of variable formula, one deduces that </w:t>
      </w:r>
      <w:r w:rsidRPr="004254D3">
        <w:rPr>
          <w:position w:val="-10"/>
        </w:rPr>
        <w:object w:dxaOrig="520" w:dyaOrig="280" w14:anchorId="2A9C05E7">
          <v:shape id="_x0000_i1030" type="#_x0000_t75" style="width:32.1pt;height:17.15pt" o:ole="">
            <v:imagedata r:id="rId14" o:title=""/>
          </v:shape>
          <o:OLEObject Type="Embed" ProgID="Equation.DSMT4" ShapeID="_x0000_i1030" DrawAspect="Content" ObjectID="_1526323602" r:id="rId15"/>
        </w:object>
      </w:r>
      <w:r>
        <w:t xml:space="preserve"> is distributed according to the density:</w:t>
      </w:r>
    </w:p>
    <w:p w14:paraId="3DDEFF20" w14:textId="77777777" w:rsidR="00AE42E9" w:rsidRPr="00A90160" w:rsidRDefault="00AE42E9" w:rsidP="00AE42E9">
      <w:pPr>
        <w:ind w:left="696"/>
      </w:pPr>
      <w:r w:rsidRPr="00624840">
        <w:rPr>
          <w:position w:val="-30"/>
        </w:rPr>
        <w:object w:dxaOrig="3500" w:dyaOrig="640" w14:anchorId="3E9B38DF">
          <v:shape id="_x0000_i1031" type="#_x0000_t75" style="width:263.1pt;height:49.85pt" o:ole="">
            <v:imagedata r:id="rId16" o:title=""/>
          </v:shape>
          <o:OLEObject Type="Embed" ProgID="Equation.DSMT4" ShapeID="_x0000_i1031" DrawAspect="Content" ObjectID="_1526323603" r:id="rId17"/>
        </w:object>
      </w:r>
      <w:r>
        <w:rPr>
          <w:position w:val="-24"/>
        </w:rPr>
        <w:tab/>
      </w:r>
      <w:r>
        <w:rPr>
          <w:position w:val="-24"/>
        </w:rPr>
        <w:tab/>
      </w:r>
      <w:r w:rsidRPr="00963EC5">
        <w:rPr>
          <w:color w:val="000000"/>
        </w:rPr>
        <w:t>[</w:t>
      </w:r>
      <w:r>
        <w:rPr>
          <w:color w:val="000000"/>
        </w:rPr>
        <w:t>S</w:t>
      </w:r>
      <w:r w:rsidRPr="00963EC5">
        <w:rPr>
          <w:color w:val="000000"/>
        </w:rPr>
        <w:t>34]</w:t>
      </w:r>
    </w:p>
    <w:p w14:paraId="2EEE3D27" w14:textId="77777777" w:rsidR="00AE42E9" w:rsidRPr="008E47F5" w:rsidRDefault="00AE42E9" w:rsidP="00AE42E9">
      <w:r>
        <w:t xml:space="preserve">We remark from the data that </w:t>
      </w:r>
      <w:r w:rsidRPr="002B49B0">
        <w:rPr>
          <w:position w:val="-12"/>
        </w:rPr>
        <w:object w:dxaOrig="240" w:dyaOrig="300" w14:anchorId="63E1A790">
          <v:shape id="_x0000_i1032" type="#_x0000_t75" style="width:14.95pt;height:21.05pt" o:ole="">
            <v:imagedata r:id="rId12" o:title=""/>
          </v:shape>
          <o:OLEObject Type="Embed" ProgID="Equation.DSMT4" ShapeID="_x0000_i1032" DrawAspect="Content" ObjectID="_1526323604" r:id="rId18"/>
        </w:object>
      </w:r>
      <w:r w:rsidRPr="00AB65A0">
        <w:t xml:space="preserve"> actually depends very weakly upon </w:t>
      </w:r>
      <w:r w:rsidRPr="00221064">
        <w:rPr>
          <w:i/>
        </w:rPr>
        <w:t>p </w:t>
      </w:r>
      <w:r>
        <w:t>(suppl. figure 2</w:t>
      </w:r>
      <w:r w:rsidRPr="00221064">
        <w:t>).</w:t>
      </w:r>
      <w:r w:rsidRPr="00AB65A0">
        <w:t xml:space="preserve"> </w:t>
      </w:r>
      <w:r>
        <w:t>We thus assume</w:t>
      </w:r>
      <w:r w:rsidRPr="00AB65A0">
        <w:t xml:space="preserve"> that </w:t>
      </w:r>
      <w:r w:rsidRPr="004C3353">
        <w:rPr>
          <w:position w:val="-12"/>
        </w:rPr>
        <w:object w:dxaOrig="520" w:dyaOrig="300" w14:anchorId="62E6365F">
          <v:shape id="_x0000_i1033" type="#_x0000_t75" style="width:33.25pt;height:18.85pt" o:ole="">
            <v:imagedata r:id="rId19" o:title=""/>
          </v:shape>
          <o:OLEObject Type="Embed" ProgID="Equation.DSMT4" ShapeID="_x0000_i1033" DrawAspect="Content" ObjectID="_1526323605" r:id="rId20"/>
        </w:object>
      </w:r>
      <w:r w:rsidRPr="00AB65A0">
        <w:t xml:space="preserve"> is independent of </w:t>
      </w:r>
      <w:r w:rsidRPr="00AB65A0">
        <w:rPr>
          <w:i/>
        </w:rPr>
        <w:t>p</w:t>
      </w:r>
      <w:r w:rsidRPr="00AB65A0">
        <w:t xml:space="preserve">. Denoting </w:t>
      </w:r>
      <w:r w:rsidRPr="00DD5C12">
        <w:rPr>
          <w:rFonts w:ascii="Symbol" w:hAnsi="Symbol"/>
          <w:i/>
          <w:iCs/>
        </w:rPr>
        <w:t></w:t>
      </w:r>
      <w:r w:rsidRPr="00AB65A0">
        <w:rPr>
          <w:i/>
        </w:rPr>
        <w:t>(p)</w:t>
      </w:r>
      <w:r w:rsidRPr="00AB65A0">
        <w:t xml:space="preserve"> the RAF probability distribution, we reconstruct the final density for </w:t>
      </w:r>
      <w:r w:rsidRPr="004254D3">
        <w:rPr>
          <w:position w:val="-10"/>
        </w:rPr>
        <w:object w:dxaOrig="520" w:dyaOrig="280" w14:anchorId="34C0CC67">
          <v:shape id="_x0000_i1034" type="#_x0000_t75" style="width:32.1pt;height:17.15pt" o:ole="">
            <v:imagedata r:id="rId21" o:title=""/>
          </v:shape>
          <o:OLEObject Type="Embed" ProgID="Equation.DSMT4" ShapeID="_x0000_i1034" DrawAspect="Content" ObjectID="_1526323606" r:id="rId22"/>
        </w:object>
      </w:r>
      <w:r>
        <w:t xml:space="preserve"> </w:t>
      </w:r>
      <w:r w:rsidRPr="00A90160">
        <w:t>across all loci</w:t>
      </w:r>
      <w:r>
        <w:t xml:space="preserve"> by:</w:t>
      </w:r>
    </w:p>
    <w:p w14:paraId="04ACC26F" w14:textId="77777777" w:rsidR="00AE42E9" w:rsidRDefault="00AE42E9" w:rsidP="00AE42E9">
      <w:pPr>
        <w:ind w:left="696"/>
      </w:pPr>
      <w:r w:rsidRPr="00E34BB9">
        <w:rPr>
          <w:position w:val="-30"/>
        </w:rPr>
        <w:object w:dxaOrig="3980" w:dyaOrig="640" w14:anchorId="636E68DA">
          <v:shape id="_x0000_i1035" type="#_x0000_t75" style="width:301.3pt;height:49.85pt" o:ole="">
            <v:imagedata r:id="rId23" o:title=""/>
          </v:shape>
          <o:OLEObject Type="Embed" ProgID="Equation.DSMT4" ShapeID="_x0000_i1035" DrawAspect="Content" ObjectID="_1526323607" r:id="rId24"/>
        </w:object>
      </w:r>
      <w:r>
        <w:t xml:space="preserve">  </w:t>
      </w:r>
      <w:r>
        <w:tab/>
      </w:r>
      <w:r w:rsidRPr="00963EC5">
        <w:rPr>
          <w:color w:val="000000"/>
        </w:rPr>
        <w:t>[</w:t>
      </w:r>
      <w:r>
        <w:rPr>
          <w:color w:val="000000"/>
        </w:rPr>
        <w:t>S</w:t>
      </w:r>
      <w:r w:rsidRPr="00963EC5">
        <w:rPr>
          <w:color w:val="000000"/>
        </w:rPr>
        <w:t>35]</w:t>
      </w:r>
    </w:p>
    <w:p w14:paraId="72ABD7D1" w14:textId="77777777" w:rsidR="00AE42E9" w:rsidRDefault="00AE42E9" w:rsidP="00AE42E9">
      <w:pPr>
        <w:tabs>
          <w:tab w:val="left" w:pos="2215"/>
        </w:tabs>
        <w:ind w:right="-569" w:firstLine="0"/>
        <w:rPr>
          <w:noProof/>
          <w:color w:val="000000"/>
          <w:lang w:eastAsia="fr-FR"/>
        </w:rPr>
      </w:pPr>
      <w:r w:rsidRPr="00540031">
        <w:rPr>
          <w:noProof/>
          <w:color w:val="000000"/>
          <w:lang w:val="fr-FR" w:eastAsia="fr-FR" w:bidi="ar-SA"/>
        </w:rPr>
        <w:drawing>
          <wp:inline distT="0" distB="0" distL="0" distR="0" wp14:anchorId="3649C3C0" wp14:editId="46E77F5B">
            <wp:extent cx="4866103" cy="2746912"/>
            <wp:effectExtent l="0" t="0" r="10795" b="22225"/>
            <wp:docPr id="1" name="Graphiqu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5834F4E" w14:textId="77777777" w:rsidR="00F7532B" w:rsidRPr="00AE42E9" w:rsidRDefault="00AE42E9" w:rsidP="00AE42E9">
      <w:pPr>
        <w:tabs>
          <w:tab w:val="left" w:pos="2215"/>
        </w:tabs>
        <w:ind w:right="-569" w:firstLine="0"/>
        <w:rPr>
          <w:noProof/>
          <w:color w:val="000000"/>
          <w:lang w:eastAsia="fr-FR"/>
        </w:rPr>
      </w:pPr>
      <w:r>
        <w:rPr>
          <w:b/>
        </w:rPr>
        <w:t>Suppl. figure 2</w:t>
      </w:r>
      <w:r w:rsidRPr="00060A79">
        <w:rPr>
          <w:b/>
        </w:rPr>
        <w:t>.</w:t>
      </w:r>
      <w:r w:rsidRPr="00060A79">
        <w:t xml:space="preserve"> Odds Ratios and </w:t>
      </w:r>
      <w:r>
        <w:t xml:space="preserve">risk allele </w:t>
      </w:r>
      <w:r w:rsidRPr="00060A79">
        <w:t xml:space="preserve">frequencies in the general population </w:t>
      </w:r>
      <w:r>
        <w:t>for</w:t>
      </w:r>
      <w:r w:rsidRPr="00060A79">
        <w:t xml:space="preserve"> the disease</w:t>
      </w:r>
      <w:r>
        <w:t>-</w:t>
      </w:r>
      <w:r w:rsidRPr="00060A79">
        <w:t>associated alleles reporte</w:t>
      </w:r>
      <w:r>
        <w:t>d for CD (</w:t>
      </w:r>
      <w:r w:rsidRPr="00060A79">
        <w:t xml:space="preserve">derived from </w:t>
      </w:r>
      <w:proofErr w:type="spellStart"/>
      <w:r>
        <w:t>Jostins</w:t>
      </w:r>
      <w:proofErr w:type="spellEnd"/>
      <w:r>
        <w:t xml:space="preserve"> L et al. 2012).</w:t>
      </w:r>
      <w:bookmarkStart w:id="0" w:name="_GoBack"/>
      <w:bookmarkEnd w:id="0"/>
    </w:p>
    <w:sectPr w:rsidR="00F7532B" w:rsidRPr="00AE42E9" w:rsidSect="000F17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9"/>
    <w:rsid w:val="000F1736"/>
    <w:rsid w:val="00AE42E9"/>
    <w:rsid w:val="00F7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B71F2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2E9"/>
    <w:pPr>
      <w:suppressAutoHyphens/>
      <w:spacing w:line="360" w:lineRule="auto"/>
      <w:ind w:firstLine="720"/>
      <w:jc w:val="both"/>
    </w:pPr>
    <w:rPr>
      <w:rFonts w:ascii="Times New Roman" w:eastAsia="Times New Roman" w:hAnsi="Times New Roman" w:cs="Times New Roman"/>
      <w:lang w:val="en-US" w:eastAsia="zh-CN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3.bin"/><Relationship Id="rId20" Type="http://schemas.openxmlformats.org/officeDocument/2006/relationships/oleObject" Target="embeddings/oleObject9.bin"/><Relationship Id="rId21" Type="http://schemas.openxmlformats.org/officeDocument/2006/relationships/image" Target="media/image9.emf"/><Relationship Id="rId22" Type="http://schemas.openxmlformats.org/officeDocument/2006/relationships/oleObject" Target="embeddings/oleObject10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1.bin"/><Relationship Id="rId25" Type="http://schemas.openxmlformats.org/officeDocument/2006/relationships/chart" Target="charts/chart1.xm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oleObject4.bin"/><Relationship Id="rId12" Type="http://schemas.openxmlformats.org/officeDocument/2006/relationships/image" Target="media/image5.emf"/><Relationship Id="rId13" Type="http://schemas.openxmlformats.org/officeDocument/2006/relationships/oleObject" Target="embeddings/oleObject5.bin"/><Relationship Id="rId14" Type="http://schemas.openxmlformats.org/officeDocument/2006/relationships/image" Target="media/image6.emf"/><Relationship Id="rId15" Type="http://schemas.openxmlformats.org/officeDocument/2006/relationships/oleObject" Target="embeddings/oleObject6.bin"/><Relationship Id="rId16" Type="http://schemas.openxmlformats.org/officeDocument/2006/relationships/image" Target="media/image7.emf"/><Relationship Id="rId17" Type="http://schemas.openxmlformats.org/officeDocument/2006/relationships/oleObject" Target="embeddings/oleObject7.bin"/><Relationship Id="rId18" Type="http://schemas.openxmlformats.org/officeDocument/2006/relationships/oleObject" Target="embeddings/oleObject8.bin"/><Relationship Id="rId19" Type="http://schemas.openxmlformats.org/officeDocument/2006/relationships/image" Target="media/image8.emf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image" Target="media/image2.emf"/><Relationship Id="rId7" Type="http://schemas.openxmlformats.org/officeDocument/2006/relationships/oleObject" Target="embeddings/oleObject2.bin"/><Relationship Id="rId8" Type="http://schemas.openxmlformats.org/officeDocument/2006/relationships/image" Target="media/image3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4" Type="http://schemas.openxmlformats.org/officeDocument/2006/relationships/oleObject" Target="Classeur1" TargetMode="External"/><Relationship Id="rId1" Type="http://schemas.microsoft.com/office/2011/relationships/chartStyle" Target="style1.xml"/><Relationship Id="rId2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6674025128193"/>
          <c:y val="0.102032374462124"/>
          <c:w val="0.760302531627991"/>
          <c:h val="0.748967019844357"/>
        </c:manualLayout>
      </c:layout>
      <c:scatterChart>
        <c:scatterStyle val="line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OR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dk1">
                  <a:tint val="88500"/>
                </a:schemeClr>
              </a:solidFill>
              <a:ln w="9525">
                <a:solidFill>
                  <a:schemeClr val="dk1">
                    <a:tint val="88500"/>
                  </a:schemeClr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dk1">
                    <a:tint val="88500"/>
                  </a:schemeClr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Feuil1!$A$2:$A$141</c:f>
              <c:numCache>
                <c:formatCode>0.000</c:formatCode>
                <c:ptCount val="140"/>
                <c:pt idx="0">
                  <c:v>0.02437</c:v>
                </c:pt>
                <c:pt idx="1">
                  <c:v>0.0252</c:v>
                </c:pt>
                <c:pt idx="2">
                  <c:v>0.073</c:v>
                </c:pt>
                <c:pt idx="3">
                  <c:v>0.0887</c:v>
                </c:pt>
                <c:pt idx="4">
                  <c:v>0.093</c:v>
                </c:pt>
                <c:pt idx="5">
                  <c:v>0.0964</c:v>
                </c:pt>
                <c:pt idx="6">
                  <c:v>0.124</c:v>
                </c:pt>
                <c:pt idx="7">
                  <c:v>0.13</c:v>
                </c:pt>
                <c:pt idx="8">
                  <c:v>0.14</c:v>
                </c:pt>
                <c:pt idx="9">
                  <c:v>0.149000000000001</c:v>
                </c:pt>
                <c:pt idx="10">
                  <c:v>0.157</c:v>
                </c:pt>
                <c:pt idx="11">
                  <c:v>0.157</c:v>
                </c:pt>
                <c:pt idx="12">
                  <c:v>0.16</c:v>
                </c:pt>
                <c:pt idx="13">
                  <c:v>0.167000000000001</c:v>
                </c:pt>
                <c:pt idx="14">
                  <c:v>0.182</c:v>
                </c:pt>
                <c:pt idx="15">
                  <c:v>0.183</c:v>
                </c:pt>
                <c:pt idx="16">
                  <c:v>0.186</c:v>
                </c:pt>
                <c:pt idx="17">
                  <c:v>0.196000000000001</c:v>
                </c:pt>
                <c:pt idx="18">
                  <c:v>0.203000000000001</c:v>
                </c:pt>
                <c:pt idx="19">
                  <c:v>0.206000000000001</c:v>
                </c:pt>
                <c:pt idx="20">
                  <c:v>0.215</c:v>
                </c:pt>
                <c:pt idx="21">
                  <c:v>0.22</c:v>
                </c:pt>
                <c:pt idx="22">
                  <c:v>0.226</c:v>
                </c:pt>
                <c:pt idx="23">
                  <c:v>0.231</c:v>
                </c:pt>
                <c:pt idx="24">
                  <c:v>0.235</c:v>
                </c:pt>
                <c:pt idx="25">
                  <c:v>0.247</c:v>
                </c:pt>
                <c:pt idx="26">
                  <c:v>0.248</c:v>
                </c:pt>
                <c:pt idx="27">
                  <c:v>0.248</c:v>
                </c:pt>
                <c:pt idx="28">
                  <c:v>0.249</c:v>
                </c:pt>
                <c:pt idx="29">
                  <c:v>0.259000000000001</c:v>
                </c:pt>
                <c:pt idx="30">
                  <c:v>0.265000000000001</c:v>
                </c:pt>
                <c:pt idx="31">
                  <c:v>0.267000000000001</c:v>
                </c:pt>
                <c:pt idx="32">
                  <c:v>0.282000000000001</c:v>
                </c:pt>
                <c:pt idx="33">
                  <c:v>0.296000000000001</c:v>
                </c:pt>
                <c:pt idx="34">
                  <c:v>0.299000000000001</c:v>
                </c:pt>
                <c:pt idx="35">
                  <c:v>0.301000000000001</c:v>
                </c:pt>
                <c:pt idx="36">
                  <c:v>0.315</c:v>
                </c:pt>
                <c:pt idx="37">
                  <c:v>0.324000000000001</c:v>
                </c:pt>
                <c:pt idx="38">
                  <c:v>0.335000000000001</c:v>
                </c:pt>
                <c:pt idx="39">
                  <c:v>0.337000000000001</c:v>
                </c:pt>
                <c:pt idx="40">
                  <c:v>0.338000000000001</c:v>
                </c:pt>
                <c:pt idx="41">
                  <c:v>0.346000000000001</c:v>
                </c:pt>
                <c:pt idx="42">
                  <c:v>0.349000000000001</c:v>
                </c:pt>
                <c:pt idx="43">
                  <c:v>0.378</c:v>
                </c:pt>
                <c:pt idx="44">
                  <c:v>0.378</c:v>
                </c:pt>
                <c:pt idx="45">
                  <c:v>0.379</c:v>
                </c:pt>
                <c:pt idx="46">
                  <c:v>0.382000000000001</c:v>
                </c:pt>
                <c:pt idx="47">
                  <c:v>0.383000000000001</c:v>
                </c:pt>
                <c:pt idx="48">
                  <c:v>0.391000000000001</c:v>
                </c:pt>
                <c:pt idx="49">
                  <c:v>0.392000000000001</c:v>
                </c:pt>
                <c:pt idx="50">
                  <c:v>0.394000000000001</c:v>
                </c:pt>
                <c:pt idx="51">
                  <c:v>0.396000000000001</c:v>
                </c:pt>
                <c:pt idx="52">
                  <c:v>0.404000000000001</c:v>
                </c:pt>
                <c:pt idx="53">
                  <c:v>0.408000000000001</c:v>
                </c:pt>
                <c:pt idx="54">
                  <c:v>0.41</c:v>
                </c:pt>
                <c:pt idx="55">
                  <c:v>0.411000000000002</c:v>
                </c:pt>
                <c:pt idx="56">
                  <c:v>0.412000000000002</c:v>
                </c:pt>
                <c:pt idx="57">
                  <c:v>0.422000000000002</c:v>
                </c:pt>
                <c:pt idx="58">
                  <c:v>0.425000000000002</c:v>
                </c:pt>
                <c:pt idx="59">
                  <c:v>0.439</c:v>
                </c:pt>
                <c:pt idx="60">
                  <c:v>0.445000000000002</c:v>
                </c:pt>
                <c:pt idx="61">
                  <c:v>0.446000000000002</c:v>
                </c:pt>
                <c:pt idx="62">
                  <c:v>0.451000000000002</c:v>
                </c:pt>
                <c:pt idx="63">
                  <c:v>0.457000000000002</c:v>
                </c:pt>
                <c:pt idx="64">
                  <c:v>0.464000000000001</c:v>
                </c:pt>
                <c:pt idx="65">
                  <c:v>0.465000000000001</c:v>
                </c:pt>
                <c:pt idx="66">
                  <c:v>0.467000000000001</c:v>
                </c:pt>
                <c:pt idx="67">
                  <c:v>0.483000000000002</c:v>
                </c:pt>
                <c:pt idx="68">
                  <c:v>0.484000000000002</c:v>
                </c:pt>
                <c:pt idx="69">
                  <c:v>0.491000000000002</c:v>
                </c:pt>
                <c:pt idx="70">
                  <c:v>0.497</c:v>
                </c:pt>
                <c:pt idx="71">
                  <c:v>0.509000000000001</c:v>
                </c:pt>
                <c:pt idx="72">
                  <c:v>0.509000000000001</c:v>
                </c:pt>
                <c:pt idx="73">
                  <c:v>0.519000000000002</c:v>
                </c:pt>
                <c:pt idx="74">
                  <c:v>0.523000000000002</c:v>
                </c:pt>
                <c:pt idx="75">
                  <c:v>0.523000000000002</c:v>
                </c:pt>
                <c:pt idx="76">
                  <c:v>0.532000000000002</c:v>
                </c:pt>
                <c:pt idx="77">
                  <c:v>0.533000000000002</c:v>
                </c:pt>
                <c:pt idx="78">
                  <c:v>0.543000000000002</c:v>
                </c:pt>
                <c:pt idx="79">
                  <c:v>0.557000000000002</c:v>
                </c:pt>
                <c:pt idx="80">
                  <c:v>0.564000000000002</c:v>
                </c:pt>
                <c:pt idx="81">
                  <c:v>0.572000000000002</c:v>
                </c:pt>
                <c:pt idx="82">
                  <c:v>0.580000000000002</c:v>
                </c:pt>
                <c:pt idx="83">
                  <c:v>0.587000000000002</c:v>
                </c:pt>
                <c:pt idx="84">
                  <c:v>0.592000000000002</c:v>
                </c:pt>
                <c:pt idx="85">
                  <c:v>0.599000000000002</c:v>
                </c:pt>
                <c:pt idx="86">
                  <c:v>0.599000000000002</c:v>
                </c:pt>
                <c:pt idx="87">
                  <c:v>0.600000000000001</c:v>
                </c:pt>
                <c:pt idx="88">
                  <c:v>0.604000000000002</c:v>
                </c:pt>
                <c:pt idx="89">
                  <c:v>0.605000000000002</c:v>
                </c:pt>
                <c:pt idx="90">
                  <c:v>0.609000000000001</c:v>
                </c:pt>
                <c:pt idx="91">
                  <c:v>0.616000000000001</c:v>
                </c:pt>
                <c:pt idx="92">
                  <c:v>0.621</c:v>
                </c:pt>
                <c:pt idx="93">
                  <c:v>0.63</c:v>
                </c:pt>
                <c:pt idx="94">
                  <c:v>0.647000000000002</c:v>
                </c:pt>
                <c:pt idx="95">
                  <c:v>0.654000000000002</c:v>
                </c:pt>
                <c:pt idx="96">
                  <c:v>0.655000000000002</c:v>
                </c:pt>
                <c:pt idx="97">
                  <c:v>0.662000000000002</c:v>
                </c:pt>
                <c:pt idx="98">
                  <c:v>0.684000000000003</c:v>
                </c:pt>
                <c:pt idx="99">
                  <c:v>0.686000000000003</c:v>
                </c:pt>
                <c:pt idx="100">
                  <c:v>0.688000000000003</c:v>
                </c:pt>
                <c:pt idx="101">
                  <c:v>0.702000000000003</c:v>
                </c:pt>
                <c:pt idx="102">
                  <c:v>0.703000000000003</c:v>
                </c:pt>
                <c:pt idx="103">
                  <c:v>0.706000000000003</c:v>
                </c:pt>
                <c:pt idx="104">
                  <c:v>0.708000000000003</c:v>
                </c:pt>
                <c:pt idx="105">
                  <c:v>0.709000000000001</c:v>
                </c:pt>
                <c:pt idx="106">
                  <c:v>0.722000000000003</c:v>
                </c:pt>
                <c:pt idx="107">
                  <c:v>0.725000000000003</c:v>
                </c:pt>
                <c:pt idx="108">
                  <c:v>0.733000000000003</c:v>
                </c:pt>
                <c:pt idx="109">
                  <c:v>0.739000000000003</c:v>
                </c:pt>
                <c:pt idx="110">
                  <c:v>0.739000000000003</c:v>
                </c:pt>
                <c:pt idx="111">
                  <c:v>0.753</c:v>
                </c:pt>
                <c:pt idx="112">
                  <c:v>0.758000000000003</c:v>
                </c:pt>
                <c:pt idx="113">
                  <c:v>0.762000000000003</c:v>
                </c:pt>
                <c:pt idx="114">
                  <c:v>0.768000000000003</c:v>
                </c:pt>
                <c:pt idx="115">
                  <c:v>0.77</c:v>
                </c:pt>
                <c:pt idx="116">
                  <c:v>0.772000000000003</c:v>
                </c:pt>
                <c:pt idx="117">
                  <c:v>0.773000000000003</c:v>
                </c:pt>
                <c:pt idx="118">
                  <c:v>0.778000000000003</c:v>
                </c:pt>
                <c:pt idx="119">
                  <c:v>0.786000000000003</c:v>
                </c:pt>
                <c:pt idx="120">
                  <c:v>0.797000000000003</c:v>
                </c:pt>
                <c:pt idx="121">
                  <c:v>0.803000000000003</c:v>
                </c:pt>
                <c:pt idx="122">
                  <c:v>0.819000000000003</c:v>
                </c:pt>
                <c:pt idx="123">
                  <c:v>0.821000000000003</c:v>
                </c:pt>
                <c:pt idx="124">
                  <c:v>0.821000000000003</c:v>
                </c:pt>
                <c:pt idx="125">
                  <c:v>0.824000000000003</c:v>
                </c:pt>
                <c:pt idx="126">
                  <c:v>0.833000000000003</c:v>
                </c:pt>
                <c:pt idx="127">
                  <c:v>0.838000000000001</c:v>
                </c:pt>
                <c:pt idx="128">
                  <c:v>0.846000000000003</c:v>
                </c:pt>
                <c:pt idx="129">
                  <c:v>0.847000000000003</c:v>
                </c:pt>
                <c:pt idx="130">
                  <c:v>0.849000000000003</c:v>
                </c:pt>
                <c:pt idx="131">
                  <c:v>0.857000000000003</c:v>
                </c:pt>
                <c:pt idx="132">
                  <c:v>0.865000000000003</c:v>
                </c:pt>
                <c:pt idx="133">
                  <c:v>0.889000000000003</c:v>
                </c:pt>
                <c:pt idx="134">
                  <c:v>0.891000000000003</c:v>
                </c:pt>
                <c:pt idx="135">
                  <c:v>0.891000000000003</c:v>
                </c:pt>
                <c:pt idx="136">
                  <c:v>0.907100000000003</c:v>
                </c:pt>
                <c:pt idx="137">
                  <c:v>0.915400000000003</c:v>
                </c:pt>
                <c:pt idx="138">
                  <c:v>0.929000000000002</c:v>
                </c:pt>
                <c:pt idx="139">
                  <c:v>0.933000000000003</c:v>
                </c:pt>
              </c:numCache>
            </c:numRef>
          </c:xVal>
          <c:yVal>
            <c:numRef>
              <c:f>Feuil1!$B$2:$B$141</c:f>
              <c:numCache>
                <c:formatCode>General</c:formatCode>
                <c:ptCount val="140"/>
                <c:pt idx="0">
                  <c:v>3.103</c:v>
                </c:pt>
                <c:pt idx="1">
                  <c:v>1.334</c:v>
                </c:pt>
                <c:pt idx="2">
                  <c:v>1.153</c:v>
                </c:pt>
                <c:pt idx="3">
                  <c:v>1.153</c:v>
                </c:pt>
                <c:pt idx="4">
                  <c:v>1.249</c:v>
                </c:pt>
                <c:pt idx="5">
                  <c:v>1.172</c:v>
                </c:pt>
                <c:pt idx="6">
                  <c:v>1.173</c:v>
                </c:pt>
                <c:pt idx="7">
                  <c:v>1.086</c:v>
                </c:pt>
                <c:pt idx="8">
                  <c:v>1.107</c:v>
                </c:pt>
                <c:pt idx="9">
                  <c:v>1.114</c:v>
                </c:pt>
                <c:pt idx="10">
                  <c:v>1.083</c:v>
                </c:pt>
                <c:pt idx="11">
                  <c:v>1.171</c:v>
                </c:pt>
                <c:pt idx="12">
                  <c:v>1.208</c:v>
                </c:pt>
                <c:pt idx="13">
                  <c:v>1.135</c:v>
                </c:pt>
                <c:pt idx="14">
                  <c:v>1.099</c:v>
                </c:pt>
                <c:pt idx="15">
                  <c:v>1.106</c:v>
                </c:pt>
                <c:pt idx="16">
                  <c:v>1.105</c:v>
                </c:pt>
                <c:pt idx="17">
                  <c:v>1.134</c:v>
                </c:pt>
                <c:pt idx="18">
                  <c:v>1.088</c:v>
                </c:pt>
                <c:pt idx="19">
                  <c:v>1.102</c:v>
                </c:pt>
                <c:pt idx="20">
                  <c:v>1.156</c:v>
                </c:pt>
                <c:pt idx="21">
                  <c:v>1.115</c:v>
                </c:pt>
                <c:pt idx="22">
                  <c:v>1.075</c:v>
                </c:pt>
                <c:pt idx="23">
                  <c:v>1.103</c:v>
                </c:pt>
                <c:pt idx="24">
                  <c:v>1.067</c:v>
                </c:pt>
                <c:pt idx="25">
                  <c:v>1.089</c:v>
                </c:pt>
                <c:pt idx="26">
                  <c:v>1.155</c:v>
                </c:pt>
                <c:pt idx="27">
                  <c:v>1.083</c:v>
                </c:pt>
                <c:pt idx="28">
                  <c:v>1.125</c:v>
                </c:pt>
                <c:pt idx="29">
                  <c:v>1.091</c:v>
                </c:pt>
                <c:pt idx="30">
                  <c:v>1.082</c:v>
                </c:pt>
                <c:pt idx="31">
                  <c:v>1.058</c:v>
                </c:pt>
                <c:pt idx="32">
                  <c:v>1.1</c:v>
                </c:pt>
                <c:pt idx="33">
                  <c:v>1.18</c:v>
                </c:pt>
                <c:pt idx="34">
                  <c:v>1.123</c:v>
                </c:pt>
                <c:pt idx="35">
                  <c:v>1.108</c:v>
                </c:pt>
                <c:pt idx="36">
                  <c:v>1.068</c:v>
                </c:pt>
                <c:pt idx="37">
                  <c:v>1.06</c:v>
                </c:pt>
                <c:pt idx="38">
                  <c:v>1.068</c:v>
                </c:pt>
                <c:pt idx="39">
                  <c:v>1.181</c:v>
                </c:pt>
                <c:pt idx="40">
                  <c:v>1.079</c:v>
                </c:pt>
                <c:pt idx="41">
                  <c:v>1.115</c:v>
                </c:pt>
                <c:pt idx="42">
                  <c:v>1.174</c:v>
                </c:pt>
                <c:pt idx="43">
                  <c:v>1.145</c:v>
                </c:pt>
                <c:pt idx="44">
                  <c:v>1.096</c:v>
                </c:pt>
                <c:pt idx="45">
                  <c:v>1.089</c:v>
                </c:pt>
                <c:pt idx="46">
                  <c:v>1.065</c:v>
                </c:pt>
                <c:pt idx="47">
                  <c:v>1.075</c:v>
                </c:pt>
                <c:pt idx="48">
                  <c:v>1.105</c:v>
                </c:pt>
                <c:pt idx="49">
                  <c:v>1.087</c:v>
                </c:pt>
                <c:pt idx="50">
                  <c:v>1.138</c:v>
                </c:pt>
                <c:pt idx="51">
                  <c:v>1.098</c:v>
                </c:pt>
                <c:pt idx="52">
                  <c:v>1.066</c:v>
                </c:pt>
                <c:pt idx="53">
                  <c:v>1.073</c:v>
                </c:pt>
                <c:pt idx="54">
                  <c:v>1.105</c:v>
                </c:pt>
                <c:pt idx="55">
                  <c:v>1.068</c:v>
                </c:pt>
                <c:pt idx="56">
                  <c:v>1.188</c:v>
                </c:pt>
                <c:pt idx="57">
                  <c:v>1.054</c:v>
                </c:pt>
                <c:pt idx="58">
                  <c:v>1.158</c:v>
                </c:pt>
                <c:pt idx="59">
                  <c:v>1.077</c:v>
                </c:pt>
                <c:pt idx="60">
                  <c:v>1.109</c:v>
                </c:pt>
                <c:pt idx="61">
                  <c:v>1.076</c:v>
                </c:pt>
                <c:pt idx="62">
                  <c:v>1.099</c:v>
                </c:pt>
                <c:pt idx="63">
                  <c:v>1.08</c:v>
                </c:pt>
                <c:pt idx="64">
                  <c:v>1.085</c:v>
                </c:pt>
                <c:pt idx="65">
                  <c:v>1.157</c:v>
                </c:pt>
                <c:pt idx="66">
                  <c:v>1.054</c:v>
                </c:pt>
                <c:pt idx="67">
                  <c:v>1.107</c:v>
                </c:pt>
                <c:pt idx="68">
                  <c:v>1.077</c:v>
                </c:pt>
                <c:pt idx="69">
                  <c:v>1.182</c:v>
                </c:pt>
                <c:pt idx="70">
                  <c:v>1.087</c:v>
                </c:pt>
                <c:pt idx="71">
                  <c:v>1.124</c:v>
                </c:pt>
                <c:pt idx="72">
                  <c:v>1.151</c:v>
                </c:pt>
                <c:pt idx="73">
                  <c:v>1.066</c:v>
                </c:pt>
                <c:pt idx="74">
                  <c:v>1.233</c:v>
                </c:pt>
                <c:pt idx="75">
                  <c:v>1.081</c:v>
                </c:pt>
                <c:pt idx="76">
                  <c:v>1.054</c:v>
                </c:pt>
                <c:pt idx="77">
                  <c:v>1.095</c:v>
                </c:pt>
                <c:pt idx="78">
                  <c:v>1.166</c:v>
                </c:pt>
                <c:pt idx="79">
                  <c:v>1.092</c:v>
                </c:pt>
                <c:pt idx="80">
                  <c:v>1.072</c:v>
                </c:pt>
                <c:pt idx="81">
                  <c:v>1.06</c:v>
                </c:pt>
                <c:pt idx="82">
                  <c:v>1.103</c:v>
                </c:pt>
                <c:pt idx="83">
                  <c:v>1.137</c:v>
                </c:pt>
                <c:pt idx="84">
                  <c:v>1.075</c:v>
                </c:pt>
                <c:pt idx="85">
                  <c:v>1.123</c:v>
                </c:pt>
                <c:pt idx="86">
                  <c:v>1.015</c:v>
                </c:pt>
                <c:pt idx="87">
                  <c:v>1.077</c:v>
                </c:pt>
                <c:pt idx="88">
                  <c:v>1.096</c:v>
                </c:pt>
                <c:pt idx="89">
                  <c:v>1.198</c:v>
                </c:pt>
                <c:pt idx="90">
                  <c:v>1.081</c:v>
                </c:pt>
                <c:pt idx="91">
                  <c:v>1.057</c:v>
                </c:pt>
                <c:pt idx="92">
                  <c:v>1.088</c:v>
                </c:pt>
                <c:pt idx="93">
                  <c:v>1.089</c:v>
                </c:pt>
                <c:pt idx="94">
                  <c:v>1.086</c:v>
                </c:pt>
                <c:pt idx="95">
                  <c:v>1.085</c:v>
                </c:pt>
                <c:pt idx="96">
                  <c:v>1.06</c:v>
                </c:pt>
                <c:pt idx="97">
                  <c:v>1.056</c:v>
                </c:pt>
                <c:pt idx="98">
                  <c:v>1.104</c:v>
                </c:pt>
                <c:pt idx="99">
                  <c:v>1.061</c:v>
                </c:pt>
                <c:pt idx="100">
                  <c:v>1.088</c:v>
                </c:pt>
                <c:pt idx="101">
                  <c:v>1.056</c:v>
                </c:pt>
                <c:pt idx="102">
                  <c:v>1.095</c:v>
                </c:pt>
                <c:pt idx="103">
                  <c:v>1.099</c:v>
                </c:pt>
                <c:pt idx="104">
                  <c:v>1.157</c:v>
                </c:pt>
                <c:pt idx="105">
                  <c:v>1.142</c:v>
                </c:pt>
                <c:pt idx="106">
                  <c:v>1.122</c:v>
                </c:pt>
                <c:pt idx="107">
                  <c:v>1.164</c:v>
                </c:pt>
                <c:pt idx="108">
                  <c:v>1.18</c:v>
                </c:pt>
                <c:pt idx="109">
                  <c:v>1.075</c:v>
                </c:pt>
                <c:pt idx="110">
                  <c:v>1.081</c:v>
                </c:pt>
                <c:pt idx="111">
                  <c:v>1.116</c:v>
                </c:pt>
                <c:pt idx="112">
                  <c:v>1.071</c:v>
                </c:pt>
                <c:pt idx="113">
                  <c:v>1.08</c:v>
                </c:pt>
                <c:pt idx="114">
                  <c:v>1.072</c:v>
                </c:pt>
                <c:pt idx="115">
                  <c:v>1.082</c:v>
                </c:pt>
                <c:pt idx="116">
                  <c:v>1.112</c:v>
                </c:pt>
                <c:pt idx="117">
                  <c:v>1.123</c:v>
                </c:pt>
                <c:pt idx="118">
                  <c:v>1.066</c:v>
                </c:pt>
                <c:pt idx="119">
                  <c:v>1.071</c:v>
                </c:pt>
                <c:pt idx="120">
                  <c:v>1.136</c:v>
                </c:pt>
                <c:pt idx="121">
                  <c:v>1.124</c:v>
                </c:pt>
                <c:pt idx="122">
                  <c:v>1.083</c:v>
                </c:pt>
                <c:pt idx="123">
                  <c:v>1.095</c:v>
                </c:pt>
                <c:pt idx="124">
                  <c:v>1.101</c:v>
                </c:pt>
                <c:pt idx="125">
                  <c:v>1.095</c:v>
                </c:pt>
                <c:pt idx="126">
                  <c:v>1.209</c:v>
                </c:pt>
                <c:pt idx="127">
                  <c:v>1.112</c:v>
                </c:pt>
                <c:pt idx="128">
                  <c:v>1.074</c:v>
                </c:pt>
                <c:pt idx="129">
                  <c:v>1.115</c:v>
                </c:pt>
                <c:pt idx="130">
                  <c:v>1.102</c:v>
                </c:pt>
                <c:pt idx="131">
                  <c:v>1.144</c:v>
                </c:pt>
                <c:pt idx="132">
                  <c:v>1.185</c:v>
                </c:pt>
                <c:pt idx="133">
                  <c:v>1.134</c:v>
                </c:pt>
                <c:pt idx="134">
                  <c:v>1.161</c:v>
                </c:pt>
                <c:pt idx="135">
                  <c:v>1.134</c:v>
                </c:pt>
                <c:pt idx="136">
                  <c:v>1.196</c:v>
                </c:pt>
                <c:pt idx="137">
                  <c:v>1.155</c:v>
                </c:pt>
                <c:pt idx="138">
                  <c:v>1.129</c:v>
                </c:pt>
                <c:pt idx="139">
                  <c:v>2.012999999999999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9677312"/>
        <c:axId val="659658144"/>
      </c:scatterChart>
      <c:valAx>
        <c:axId val="659677312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400"/>
                  <a:t>Rare</a:t>
                </a:r>
                <a:r>
                  <a:rPr lang="fr-FR" sz="1400" baseline="0"/>
                  <a:t> allele frequency</a:t>
                </a:r>
                <a:endParaRPr lang="fr-FR" sz="1400"/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0.0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59658144"/>
        <c:crosses val="autoZero"/>
        <c:crossBetween val="midCat"/>
      </c:valAx>
      <c:valAx>
        <c:axId val="659658144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r-FR" sz="1200"/>
                  <a:t>Odds Ratios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fr-FR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fr-FR"/>
          </a:p>
        </c:txPr>
        <c:crossAx val="659677312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fr-FR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>
          <a:alpha val="75000"/>
        </a:schemeClr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Bureau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Bureau">
    <a:majorFont>
      <a:latin typeface="Calibri Light" panose="020F0302020204030204"/>
      <a:ea typeface=""/>
      <a:cs typeface=""/>
      <a:font script="Jpan" typeface="Yu Gothic Light"/>
      <a:font script="Hang" typeface="맑은 고딕"/>
      <a:font script="Hans" typeface="DengXian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Yu Mincho"/>
      <a:font script="Hang" typeface="맑은 고딕"/>
      <a:font script="Hans" typeface="DengXian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Bureau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902</Characters>
  <Application>Microsoft Macintosh Word</Application>
  <DocSecurity>0</DocSecurity>
  <Lines>7</Lines>
  <Paragraphs>2</Paragraphs>
  <ScaleCrop>false</ScaleCrop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Hugot</dc:creator>
  <cp:keywords/>
  <dc:description/>
  <cp:lastModifiedBy>Jean-Pierre Hugot</cp:lastModifiedBy>
  <cp:revision>1</cp:revision>
  <dcterms:created xsi:type="dcterms:W3CDTF">2016-06-01T19:55:00Z</dcterms:created>
  <dcterms:modified xsi:type="dcterms:W3CDTF">2016-06-01T19:56:00Z</dcterms:modified>
</cp:coreProperties>
</file>