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A1" w:rsidRPr="002752A1" w:rsidRDefault="00D7448C" w:rsidP="00405695">
      <w:pPr>
        <w:adjustRightInd w:val="0"/>
        <w:snapToGrid w:val="0"/>
        <w:spacing w:beforeLines="50" w:before="120" w:after="0" w:line="360" w:lineRule="auto"/>
        <w:ind w:leftChars="-515" w:left="-1133" w:rightChars="-550" w:right="-1210"/>
        <w:jc w:val="both"/>
        <w:rPr>
          <w:rFonts w:ascii="Times New Roman" w:hAnsi="Times New Roman" w:cs="Times New Roman"/>
          <w:sz w:val="24"/>
          <w:szCs w:val="24"/>
        </w:rPr>
      </w:pPr>
      <w:r w:rsidRPr="00667DC2">
        <w:rPr>
          <w:rFonts w:ascii="Times New Roman" w:hAnsi="Times New Roman" w:cs="Times New Roman"/>
          <w:b/>
          <w:sz w:val="24"/>
          <w:szCs w:val="24"/>
          <w:lang w:val="en-US"/>
        </w:rPr>
        <w:t>Table S2</w:t>
      </w:r>
      <w:r w:rsidR="00155772" w:rsidRPr="00667DC2">
        <w:rPr>
          <w:rFonts w:ascii="Times New Roman" w:hAnsi="Times New Roman" w:cs="Times New Roman"/>
          <w:b/>
          <w:sz w:val="24"/>
          <w:szCs w:val="24"/>
        </w:rPr>
        <w:t>.</w:t>
      </w:r>
      <w:r w:rsidR="00155772" w:rsidRPr="00D7448C">
        <w:rPr>
          <w:rFonts w:ascii="Times New Roman" w:hAnsi="Times New Roman" w:cs="Times New Roman"/>
          <w:sz w:val="24"/>
          <w:szCs w:val="24"/>
        </w:rPr>
        <w:t xml:space="preserve"> </w:t>
      </w:r>
      <w:r w:rsidR="00667DC2" w:rsidRPr="00667DC2">
        <w:rPr>
          <w:rFonts w:ascii="Times New Roman" w:hAnsi="Times New Roman" w:cs="Times New Roman"/>
          <w:sz w:val="24"/>
          <w:szCs w:val="24"/>
        </w:rPr>
        <w:t xml:space="preserve">Complete list of the protein functional families covered by </w:t>
      </w:r>
      <w:proofErr w:type="spellStart"/>
      <w:r w:rsidR="00667DC2" w:rsidRPr="00667DC2">
        <w:rPr>
          <w:rFonts w:ascii="Times New Roman" w:hAnsi="Times New Roman" w:cs="Times New Roman"/>
          <w:sz w:val="24"/>
          <w:szCs w:val="24"/>
        </w:rPr>
        <w:t>SVMProt</w:t>
      </w:r>
      <w:proofErr w:type="spellEnd"/>
      <w:r w:rsidR="00667DC2" w:rsidRPr="00667DC2">
        <w:rPr>
          <w:rFonts w:ascii="Times New Roman" w:hAnsi="Times New Roman" w:cs="Times New Roman"/>
          <w:sz w:val="24"/>
          <w:szCs w:val="24"/>
        </w:rPr>
        <w:t xml:space="preserve"> and the prediction performance of the SVM, </w:t>
      </w:r>
      <w:proofErr w:type="spellStart"/>
      <w:r w:rsidR="00667DC2" w:rsidRPr="00667DC2">
        <w:rPr>
          <w:rFonts w:ascii="Times New Roman" w:hAnsi="Times New Roman" w:cs="Times New Roman"/>
          <w:sz w:val="24"/>
          <w:szCs w:val="24"/>
        </w:rPr>
        <w:t>kNN</w:t>
      </w:r>
      <w:proofErr w:type="spellEnd"/>
      <w:r w:rsidR="00667DC2" w:rsidRPr="00667DC2">
        <w:rPr>
          <w:rFonts w:ascii="Times New Roman" w:hAnsi="Times New Roman" w:cs="Times New Roman"/>
          <w:sz w:val="24"/>
          <w:szCs w:val="24"/>
        </w:rPr>
        <w:t xml:space="preserve"> and PNN models on the independent testing sets.</w:t>
      </w:r>
      <w:r w:rsidR="00667DC2">
        <w:rPr>
          <w:rFonts w:ascii="Times New Roman" w:hAnsi="Times New Roman" w:cs="Times New Roman"/>
          <w:sz w:val="24"/>
          <w:szCs w:val="24"/>
        </w:rPr>
        <w:t xml:space="preserve"> The prediction</w:t>
      </w:r>
      <w:r w:rsidR="00155772" w:rsidRPr="00D7448C">
        <w:rPr>
          <w:rFonts w:ascii="Times New Roman" w:hAnsi="Times New Roman" w:cs="Times New Roman"/>
          <w:sz w:val="24"/>
          <w:szCs w:val="24"/>
        </w:rPr>
        <w:t xml:space="preserve"> </w:t>
      </w:r>
      <w:r w:rsidR="00BF55D1">
        <w:rPr>
          <w:rFonts w:ascii="Times New Roman" w:hAnsi="Times New Roman" w:cs="Times New Roman"/>
          <w:sz w:val="24"/>
          <w:szCs w:val="24"/>
        </w:rPr>
        <w:t>results</w:t>
      </w:r>
      <w:r w:rsidR="00155772" w:rsidRPr="00D7448C">
        <w:rPr>
          <w:rFonts w:ascii="Times New Roman" w:hAnsi="Times New Roman" w:cs="Times New Roman"/>
          <w:sz w:val="24"/>
          <w:szCs w:val="24"/>
        </w:rPr>
        <w:t xml:space="preserve"> are given in Sensitivity SE=TP</w:t>
      </w:r>
      <w:proofErr w:type="gramStart"/>
      <w:r w:rsidR="00155772" w:rsidRPr="00D7448C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155772" w:rsidRPr="00D7448C">
        <w:rPr>
          <w:rFonts w:ascii="Times New Roman" w:hAnsi="Times New Roman" w:cs="Times New Roman"/>
          <w:sz w:val="24"/>
          <w:szCs w:val="24"/>
        </w:rPr>
        <w:t xml:space="preserve">TP+FN), Specificity SP=TN/(TN+FP), Precision </w:t>
      </w:r>
      <w:r w:rsidR="00667DC2">
        <w:rPr>
          <w:rFonts w:ascii="Times New Roman" w:hAnsi="Times New Roman" w:cs="Times New Roman"/>
          <w:sz w:val="24"/>
          <w:szCs w:val="24"/>
        </w:rPr>
        <w:t>PR=</w:t>
      </w:r>
      <w:r w:rsidR="00155772" w:rsidRPr="00D7448C">
        <w:rPr>
          <w:rFonts w:ascii="Times New Roman" w:hAnsi="Times New Roman" w:cs="Times New Roman"/>
          <w:sz w:val="24"/>
          <w:szCs w:val="24"/>
        </w:rPr>
        <w:t>TP/(TP + FP), where TP=true positive, FN</w:t>
      </w:r>
      <w:r w:rsidR="00667DC2">
        <w:rPr>
          <w:rFonts w:ascii="Times New Roman" w:hAnsi="Times New Roman" w:cs="Times New Roman"/>
          <w:sz w:val="24"/>
          <w:szCs w:val="24"/>
        </w:rPr>
        <w:t>=</w:t>
      </w:r>
      <w:r w:rsidR="00155772" w:rsidRPr="00D7448C">
        <w:rPr>
          <w:rFonts w:ascii="Times New Roman" w:hAnsi="Times New Roman" w:cs="Times New Roman"/>
          <w:sz w:val="24"/>
          <w:szCs w:val="24"/>
        </w:rPr>
        <w:t>false negative, TN</w:t>
      </w:r>
      <w:r w:rsidR="00667DC2">
        <w:rPr>
          <w:rFonts w:ascii="Times New Roman" w:hAnsi="Times New Roman" w:cs="Times New Roman"/>
          <w:sz w:val="24"/>
          <w:szCs w:val="24"/>
        </w:rPr>
        <w:t>=</w:t>
      </w:r>
      <w:r w:rsidR="00155772" w:rsidRPr="00D7448C">
        <w:rPr>
          <w:rFonts w:ascii="Times New Roman" w:hAnsi="Times New Roman" w:cs="Times New Roman"/>
          <w:sz w:val="24"/>
          <w:szCs w:val="24"/>
        </w:rPr>
        <w:t>true negative, and FP</w:t>
      </w:r>
      <w:r w:rsidR="00667DC2">
        <w:rPr>
          <w:rFonts w:ascii="Times New Roman" w:hAnsi="Times New Roman" w:cs="Times New Roman"/>
          <w:sz w:val="24"/>
          <w:szCs w:val="24"/>
        </w:rPr>
        <w:t>=</w:t>
      </w:r>
      <w:r w:rsidR="00155772" w:rsidRPr="00D7448C">
        <w:rPr>
          <w:rFonts w:ascii="Times New Roman" w:hAnsi="Times New Roman" w:cs="Times New Roman"/>
          <w:sz w:val="24"/>
          <w:szCs w:val="24"/>
        </w:rPr>
        <w:t>false positive respectively.</w:t>
      </w:r>
    </w:p>
    <w:tbl>
      <w:tblPr>
        <w:tblW w:w="16300" w:type="dxa"/>
        <w:tblInd w:w="-1026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851"/>
        <w:gridCol w:w="850"/>
        <w:gridCol w:w="851"/>
        <w:gridCol w:w="850"/>
        <w:gridCol w:w="851"/>
        <w:gridCol w:w="850"/>
        <w:gridCol w:w="708"/>
        <w:gridCol w:w="850"/>
        <w:gridCol w:w="709"/>
        <w:gridCol w:w="708"/>
        <w:gridCol w:w="709"/>
        <w:gridCol w:w="709"/>
        <w:gridCol w:w="708"/>
        <w:gridCol w:w="709"/>
        <w:gridCol w:w="709"/>
      </w:tblGrid>
      <w:tr w:rsidR="002752A1" w:rsidRPr="003D5CFD" w:rsidTr="00405695">
        <w:trPr>
          <w:trHeight w:val="315"/>
        </w:trPr>
        <w:tc>
          <w:tcPr>
            <w:tcW w:w="3119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752A1" w:rsidRPr="003D5CFD" w:rsidRDefault="002752A1" w:rsidP="0065139E">
            <w:pPr>
              <w:adjustRightInd w:val="0"/>
              <w:snapToGrid w:val="0"/>
              <w:spacing w:beforeLines="50"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Family Name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752A1" w:rsidRPr="003D5CFD" w:rsidRDefault="002752A1" w:rsidP="0065139E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 Id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752A1" w:rsidRPr="003D5CFD" w:rsidRDefault="002752A1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Training Dataset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752A1" w:rsidRPr="003D5CFD" w:rsidRDefault="002752A1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Testing Dataset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752A1" w:rsidRPr="003D5CFD" w:rsidRDefault="002752A1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Independent Dataset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752A1" w:rsidRPr="003D5CFD" w:rsidRDefault="002752A1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SVM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752A1" w:rsidRPr="003D5CFD" w:rsidRDefault="002752A1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KNN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752A1" w:rsidRPr="003D5CFD" w:rsidRDefault="002752A1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PNN</w:t>
            </w:r>
          </w:p>
        </w:tc>
      </w:tr>
      <w:tr w:rsidR="003D5CFD" w:rsidRPr="003D5CFD" w:rsidTr="00405695">
        <w:trPr>
          <w:trHeight w:val="315"/>
        </w:trPr>
        <w:tc>
          <w:tcPr>
            <w:tcW w:w="3119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3D5CFD" w:rsidRPr="003D5CFD" w:rsidRDefault="003D5CFD" w:rsidP="00C179FB">
            <w:pPr>
              <w:adjustRightInd w:val="0"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3D5CFD" w:rsidRPr="003D5CFD" w:rsidRDefault="003D5CFD" w:rsidP="00C179FB">
            <w:pPr>
              <w:adjustRightInd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Neg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Neg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Neg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 (%)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 (%)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 (%)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 (%)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 (%)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 (%)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 (%)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 (%)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5CFD" w:rsidRPr="003D5CFD" w:rsidRDefault="003D5CFD" w:rsidP="00894712">
            <w:pPr>
              <w:adjustRightInd w:val="0"/>
              <w:snapToGrid w:val="0"/>
              <w:spacing w:beforeLines="10" w:before="24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 (%)</w:t>
            </w:r>
          </w:p>
        </w:tc>
      </w:tr>
      <w:tr w:rsidR="004710F0" w:rsidRPr="003D5CFD" w:rsidTr="00405695">
        <w:trPr>
          <w:trHeight w:val="300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EC1.1 Oxidoreductases acting on the CH-OH group of donors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GO:0016614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1164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1805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14608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11952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FC3D18" w:rsidRDefault="00FC3D1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82.5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FC3D18" w:rsidRDefault="00FC3D1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96.1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FC3D18" w:rsidRDefault="00FC3D1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72.0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0F0" w:rsidRPr="003D5CFD" w:rsidRDefault="004710F0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EC1.10 Oxidoreductases acting on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diphenols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and related substances as donors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GO:0016679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15732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12026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76.5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68.4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88.5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90.9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85.0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90.5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EC1.11 Oxidoreductases acting on a peroxide as acceptor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GO:0016684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15669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12031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86.9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86.9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82.1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97.7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80.4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82.3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88.9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EC1.13 Oxidoreductases acting on single donors with incorporation of molecular oxygen (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oxygenases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15836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12022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55.8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69.1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79.4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99.0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82.8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EC1.14 Oxidoreductases acting on paired donors with incorporation reduction of molecular oxygen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11998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71.0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98.9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62.0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76.7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95.5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69.2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E07347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7347">
              <w:rPr>
                <w:rFonts w:ascii="Times New Roman" w:eastAsia="Times New Roman" w:hAnsi="Times New Roman" w:cs="Times New Roman"/>
              </w:rPr>
              <w:t>73.5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92.5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EC1.15 Oxidoreductases acting on superoxide as acceptor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16221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97.1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EC1.17 Oxidoreductases acting on CH2 groups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15787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95.3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EC1.18 Oxidoreductases acting on iron-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sulfur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proteins as donors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15850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92.4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EC1.2 Oxidoreductases acting on the aldehyde or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oxo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group of donors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GO:0016903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15076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EC1.3 Oxidoreductases acting on the CH-CH group of donors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GO:0016627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15107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56.2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96.4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EC1.4 Oxidoreductases acting on the CH-NH2 group of donors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GO:0016638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15187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65.8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65.8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94.2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EC1.5 Oxidoreductases acting on the CH-NH group of donors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GO:0016645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15283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92.6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EC1.6 Oxidoreductases acting on NADH or NADPH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GO:0016651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14876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EC1.7 Oxidoreductases acting on other nitrogenous compounds as donors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GO:0016661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15705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69.1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EC1.8 Oxidoreductases acting on a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sulfur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group of donors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15513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EC1.9 Oxidoreductases acting on a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heme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group of donors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GO:0016675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16270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4841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EC2.1 Transferases transferring one-carbon groups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EC2.2 Transferases transferring aldehyde or ketone residues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EC2.3 Acyltransferases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EC2.4 Glycosyltransferases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GO:0042123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14981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EC2.5 Transferases transferring alkyl or aryl groups, other than methyl groups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14865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59.6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EC2.6 Transferases transferring nitrogenous groups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EC2.7 Transferases transferring phosphorus-containing groups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3892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12324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3765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13146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12707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EC2.8 Transferases transferring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sulfur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-containing groups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94.9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EC2.9 Transferring selenium-containing groups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8145B8" w:rsidRDefault="008145B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99.99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92.5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EC3.1 Hydrolases acting on ester bonds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10859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12777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11807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45.6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EC3.2 Glycosylases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GO:0016798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EC3.3 Hydrolases acting on ether bonds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15102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59.3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97.2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EC3.4 Hydrolases acting on peptide bonds (Peptidases)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GO:0008233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10402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13236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11807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48.6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EC3.5 Hydrolases acting on carbon-nitrogen bonds, other than peptide bonds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14450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EC3.6 Hydrolases acting on acid anhydrides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14439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EC3.7 Acting on carbon-carbon bonds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95.2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EC3.8 Acting on halide bonds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87.6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EC4.1 Carbon-carbon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lyases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EC4.2 Carbon-oxygen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lyases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EC4.3 Carbon-nitrogen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lyases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43.9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82.6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EC4.4 Carbon-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sulfur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lyases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15086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86.8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EC4.6 Phosphorus-oxygen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lyases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15257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73.9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EC5.1 Racemases and Epimerases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15268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53.0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53.9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94.5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EC5.2 Cis-trans-Isomerases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15682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93.5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EC5.3 Intramolecular oxidoreductases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57.7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EC5.4 Intramolecular transferases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15353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57.5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EC5.5 Intramolecular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lyases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16196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62.4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82.6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EC5.99 Other Isomerases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16045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98.3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EC6.1 Ligases forming carbon-oxygen bonds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EC6.2 Ligases forming carbon-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sulfur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bonds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15862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12216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92.3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EC6.3 Ligases forming carbon-nitrogen bonds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EC6.4 Ligases forming carbon-carbon bonds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15556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63.6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89.4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EC6.5 Ligases forming phosphoric ester bonds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GO:0016886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15411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96.9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EC6.6 Forming nitrogen-metal bonds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GO:0051002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55.7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94.0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TC1.A alpha-type channels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GO:0005216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17432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13081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TC1.B beta-barrel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porins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GO:0015288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19454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69.2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TC1.C Pore-forming toxins (proteins and peptides)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GO:0005216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19371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13467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TC1.E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Holins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GO:0034290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18851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13155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TC2.A porters (symporters, uniporters, antiporters)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GO:0015291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17951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13035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TC2.A.1 Major facilitator family (MFS)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GO:0005215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14194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28.7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1F184A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TC2.A.3 Amino acid-pol</w:t>
            </w:r>
            <w:r w:rsidR="001F184A">
              <w:rPr>
                <w:rFonts w:ascii="Times New Roman" w:eastAsia="Times New Roman" w:hAnsi="Times New Roman" w:cs="Times New Roman"/>
                <w:color w:val="000000"/>
              </w:rPr>
              <w:t>yamine-</w:t>
            </w:r>
            <w:proofErr w:type="spellStart"/>
            <w:r w:rsidR="001F184A">
              <w:rPr>
                <w:rFonts w:ascii="Times New Roman" w:eastAsia="Times New Roman" w:hAnsi="Times New Roman" w:cs="Times New Roman"/>
                <w:color w:val="000000"/>
              </w:rPr>
              <w:t>organocation</w:t>
            </w:r>
            <w:proofErr w:type="spellEnd"/>
            <w:r w:rsidR="001F184A">
              <w:rPr>
                <w:rFonts w:ascii="Times New Roman" w:eastAsia="Times New Roman" w:hAnsi="Times New Roman" w:cs="Times New Roman"/>
                <w:color w:val="000000"/>
              </w:rPr>
              <w:t xml:space="preserve"> (APC)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GO:0005215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TC2.A.6 Resistance-nodulation-cell division (RND) family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GO:0005215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34.9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TC2.C Ion-gradient-driven energizers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GO:0015291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18335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13153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TC3.A P-P-bond-hydrolysis-driven transporters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GO:0015405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16583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TC3.A.1 ATP-binding cassette (ABC) family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GO:0043190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19554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TC3.A.15 The Outer Membrane Protein Secreting Main Terminal Branch (MTB) family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GO:0015405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TC3.A.3 P-type ATPase (P-ATPase) family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GO:0015662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19585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TC3.A.5 Type II (general) secretory pathway (IISP) family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GO:0015405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19587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TC3.D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Oxidoreduction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-driven transporters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GO:0015453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19985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TC3.E Light absorption-driven transporters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GO:0015454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20650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TC4.A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Phosphotransfer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-driven group translocators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GO:0008982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18434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13141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TC8.A Auxiliary transport proteins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GO:0006810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17938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13135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TC9.A Recognized transporters of unknown biochemical mechanism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GO:0005215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18276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TC9.B Putative uncharacterized transport proteins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GO:0005215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 transmembrane receptor (metabotropic glutamate family)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GO:0004930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 transmembrane receptor (odorant receptor)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GO:0004930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19631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 transmembrane receptor (rhodopsin family and chemoreceptor)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GO:0004930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4611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 transmembrane receptor (secretin family)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GO:0004930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19581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Actin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GO:0003779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10312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20329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13214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Actin capping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GO:0051693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D13B6F" w:rsidRDefault="00D13B6F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99.99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55.0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71.0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All DNA-binding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GO:0003677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11426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5785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15685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12962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61.4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85.2</w:t>
            </w:r>
          </w:p>
        </w:tc>
      </w:tr>
      <w:tr w:rsidR="002752A1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All lipid-binding proteins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GO:0008289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3232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10701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14799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12246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52A1" w:rsidRPr="003D5CFD" w:rsidRDefault="002752A1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Allergen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41518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39273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69.3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Amphibian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defense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peptide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GO:0006952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Antioxidant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GO:0016209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78.9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Biotin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Cadmium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Calcium-binding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GO:0005509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11389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16945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57.0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Calmodulin-binding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GO:0005516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41405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36421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84.0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cAMP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Cell adhesion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GO:0007155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15223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cGMP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42.0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Chaperone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41284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3292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39067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3105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36305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85.9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Chitin-binding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GO:0008061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41623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39389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36631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29.9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82.8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Chloride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62.3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Chlorophyll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GO:0016168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21640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Chlorophyll biosynthesis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GO:0015995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20424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Chromatin regulator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GO:0016568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41070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38675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36101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62.9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47.7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Chromophore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GO:0018298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39495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Coat proteins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GO:0030117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15370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Cobalt-binding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GO:0050897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20417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14816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Collagen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GO:0005581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Copper-binding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GO:0005507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20385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14733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Covalent protein-RNA linkage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GO:0018144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92.5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Cyclin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GO:0061575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52.2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Cyclosporin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GO:0042277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80.0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Cytokine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GO:0005125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39497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DNA condensation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GO:0030261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20233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DNA integration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GO:0015074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20868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63.8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87.6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DNA recombination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GO:0006310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10614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18224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2391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13763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67.5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77.0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DNA repair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GO:0006281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10643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17646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13544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67.6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DNA replication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GO:0006260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18852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13636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77.6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DNA replication inhibitor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GO:0008156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91.1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DNA-directed DNA polymerase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GO:0003887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19524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DNA-directed RNA polymerase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GO:0003899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18958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13885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Elongation factor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GO:0003746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94.0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Envelope proteins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GO:0019031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14932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Excision nuclease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GO:0004518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Eye lens protein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Flavoprotein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GO:0045251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38785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36211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89.6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Folate-binding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GO:0005542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62.8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 protein coupled receptors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GO:0004930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20216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2532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14244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Growth factor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GO:0008083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41680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39458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36696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86.7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GTPase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activation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GO:0005096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41584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39359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36597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61.8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42.2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Guanine-nucleotide releasing factor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GO:0005085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41599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39374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36607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31.7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55.6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Heparin-binding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GO:0008201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41591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39344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61.0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Herbicide resistance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GO:0009635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13958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Hormone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GO:0005179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41693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39463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88.0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Hypotensive agent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GO:0008217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Immune response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GO:0006955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19563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14819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Inflammatory response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GO:0006954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19432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14902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55.2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59.2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47.0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Initiation factor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GO:0003743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39457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Innate immunity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GO:0045087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10382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19285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14868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65.5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85.9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Integrin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GO:0007229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47.5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Ion channel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GO:0005216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41401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39136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36443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57.5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Iron-binding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GO:0005506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10428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Lectin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GO:0030246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15501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Lipid degradation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GO:0016042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20635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14701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89.6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Lipid metabolism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GO:0006629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14696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80.3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Lipid synthesis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GO:0008610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19670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14635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Lipid transport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GO:0006869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20462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14727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82.6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Lipid-binding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GO:0008289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20926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14724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72.1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Lipopolysaccharide biosynthesis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GO:0009103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17837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11590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14723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Lipoprotein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GO:0055097; GO:0055096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15833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Magnesium-binding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GO:0000287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2583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14382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4204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13653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Manganese-binding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GO:0030145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10099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18927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14563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Metal-binding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GO:0046872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12821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11739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15461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12146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Metalloenzyme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inhibitor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GO:0004857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63.0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80.0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Milk protein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Mitogen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GO:0051781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91.2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Molybdenum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Motor protein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GO:0098840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41670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39443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36672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82.9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mRNA capping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GO:0006370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21817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14323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61.5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91.6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mRNA slicing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20046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14161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mRNA-binding proteins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GO:0003729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17164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37.9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Muscle protein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77.3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Mutator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GO:1990633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62.4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Neuropeptide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GO:0007218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76.7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Nickel-binding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20714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14881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Nuclear receptors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GO:0003700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Outer membrane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GO:0009279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15385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32.1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Pathogenesis-related protein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GO:0009607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94.2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Photoreceptor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GO:0009881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20622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61.2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91.3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Photorespiration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GO:0009853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20580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13979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92.5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Photosynthesis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GO:0015979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19997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13796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87.9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Photosystem 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GO:0009522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20727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Photosystem 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GO:0009523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21166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Plant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defense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GO:0006952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20316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13917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Plastoquinone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Porin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GO:0015288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88.9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Potassium-binding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GO:0030955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20797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14851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Protease inhibitor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GO:0030414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41633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39405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36648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63.4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75.5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47.2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Protein phosphatase inhibitor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GO:0004864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Protein synthesis inhibitor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GO:0017148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92.8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63.2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84.9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RNA-binding proteins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GO:0003723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13816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11881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69.0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rRNA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-binding proteins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GO:0019843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16044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59.0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93.6</w:t>
            </w:r>
          </w:p>
        </w:tc>
      </w:tr>
      <w:bookmarkEnd w:id="0"/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Schiff base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73.3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Selenium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SH3-binding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GO:0017124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41617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39409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58.2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65.5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Sialic acid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76.2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35.2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Sigma factor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GO:0016987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68.3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81.8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Signal transduction inhibitor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GO:0009968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65.3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84.6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80.5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Sodium-binding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GO:0031402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20621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14842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Storage protein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GO:0045735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63.6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23.0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Structural proteins (Matrix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protein,Core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protein,Viral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 xml:space="preserve"> occlusion </w:t>
            </w: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body,Keratin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GO:0005198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15524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2656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Suppressor of RNA silencing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51.9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Thiamine pyrophosphate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36794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53.9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83.7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Transmembrane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GO:0016021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2105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12857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13063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tRNA</w:t>
            </w:r>
            <w:proofErr w:type="spellEnd"/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-binding proteins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GO:0000049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16297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90.6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Ubiquinone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B92338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Not Available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1206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1079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94.1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82.6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88.1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Vasoactive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GO:0050880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88.2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93.3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86.1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Viral nucleoprotein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GO:0019013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41749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39547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36786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89.9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77.7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96.2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Virulent protein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GO:0009405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19295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14671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95.4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64.0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49.2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70.3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87.7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Vitamin C 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GO:0031418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41821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39612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36821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91.9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81.6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61.5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47.4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Zinc-binding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GO:0008270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2731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13416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13291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6162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13416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74.9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92338" w:rsidRPr="003D5CFD" w:rsidTr="00405695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Zinc-finger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FC3D18">
            <w:pPr>
              <w:adjustRightInd w:val="0"/>
              <w:snapToGrid w:val="0"/>
              <w:spacing w:beforeLines="20" w:before="48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GO:0070742; GO:0071535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6345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39878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3387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37681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2509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34979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56.3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99.9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71.6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96.8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66.8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78.4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97.3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2338" w:rsidRPr="003D5CFD" w:rsidRDefault="00B92338" w:rsidP="003D5CFD">
            <w:pPr>
              <w:adjustRightInd w:val="0"/>
              <w:snapToGrid w:val="0"/>
              <w:spacing w:beforeLines="50"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CFD">
              <w:rPr>
                <w:rFonts w:ascii="Times New Roman" w:eastAsia="Times New Roman" w:hAnsi="Times New Roman" w:cs="Times New Roman"/>
                <w:color w:val="000000"/>
              </w:rPr>
              <w:t>67.9</w:t>
            </w:r>
          </w:p>
        </w:tc>
      </w:tr>
    </w:tbl>
    <w:p w:rsidR="00D61FB2" w:rsidRPr="00D7448C" w:rsidRDefault="00D61FB2" w:rsidP="00CA084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61FB2" w:rsidRPr="00D7448C" w:rsidSect="00D94D91">
      <w:footerReference w:type="default" r:id="rId7"/>
      <w:pgSz w:w="16838" w:h="11906" w:orient="landscape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C1" w:rsidRDefault="00D608C1" w:rsidP="00640D24">
      <w:pPr>
        <w:spacing w:after="0" w:line="240" w:lineRule="auto"/>
      </w:pPr>
      <w:r>
        <w:separator/>
      </w:r>
    </w:p>
  </w:endnote>
  <w:endnote w:type="continuationSeparator" w:id="0">
    <w:p w:rsidR="00D608C1" w:rsidRDefault="00D608C1" w:rsidP="006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76043"/>
      <w:docPartObj>
        <w:docPartGallery w:val="Page Numbers (Bottom of Page)"/>
        <w:docPartUnique/>
      </w:docPartObj>
    </w:sdtPr>
    <w:sdtContent>
      <w:p w:rsidR="008145B8" w:rsidRDefault="008145B8">
        <w:pPr>
          <w:pStyle w:val="a7"/>
          <w:jc w:val="center"/>
        </w:pPr>
        <w:r w:rsidRPr="00405695">
          <w:rPr>
            <w:rFonts w:ascii="Times New Roman" w:hAnsi="Times New Roman" w:cs="Times New Roman"/>
          </w:rPr>
          <w:fldChar w:fldCharType="begin"/>
        </w:r>
        <w:r w:rsidRPr="00405695">
          <w:rPr>
            <w:rFonts w:ascii="Times New Roman" w:hAnsi="Times New Roman" w:cs="Times New Roman"/>
          </w:rPr>
          <w:instrText xml:space="preserve"> PAGE   \* MERGEFORMAT </w:instrText>
        </w:r>
        <w:r w:rsidRPr="00405695">
          <w:rPr>
            <w:rFonts w:ascii="Times New Roman" w:hAnsi="Times New Roman" w:cs="Times New Roman"/>
          </w:rPr>
          <w:fldChar w:fldCharType="separate"/>
        </w:r>
        <w:r w:rsidR="00E121B4">
          <w:rPr>
            <w:rFonts w:ascii="Times New Roman" w:hAnsi="Times New Roman" w:cs="Times New Roman"/>
            <w:noProof/>
          </w:rPr>
          <w:t>12</w:t>
        </w:r>
        <w:r w:rsidRPr="0040569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45B8" w:rsidRDefault="008145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C1" w:rsidRDefault="00D608C1" w:rsidP="00640D24">
      <w:pPr>
        <w:spacing w:after="0" w:line="240" w:lineRule="auto"/>
      </w:pPr>
      <w:r>
        <w:separator/>
      </w:r>
    </w:p>
  </w:footnote>
  <w:footnote w:type="continuationSeparator" w:id="0">
    <w:p w:rsidR="00D608C1" w:rsidRDefault="00D608C1" w:rsidP="00640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61FB2"/>
    <w:rsid w:val="00013794"/>
    <w:rsid w:val="000223F2"/>
    <w:rsid w:val="00023611"/>
    <w:rsid w:val="0003313C"/>
    <w:rsid w:val="00047295"/>
    <w:rsid w:val="000525F5"/>
    <w:rsid w:val="00054D15"/>
    <w:rsid w:val="000840ED"/>
    <w:rsid w:val="000938D0"/>
    <w:rsid w:val="00116935"/>
    <w:rsid w:val="0013251A"/>
    <w:rsid w:val="0014609B"/>
    <w:rsid w:val="001472CC"/>
    <w:rsid w:val="00155772"/>
    <w:rsid w:val="00156028"/>
    <w:rsid w:val="00180759"/>
    <w:rsid w:val="001B3F21"/>
    <w:rsid w:val="001B6CAC"/>
    <w:rsid w:val="001D7582"/>
    <w:rsid w:val="001E098A"/>
    <w:rsid w:val="001E74F6"/>
    <w:rsid w:val="001F184A"/>
    <w:rsid w:val="00202E6B"/>
    <w:rsid w:val="00205404"/>
    <w:rsid w:val="0023644C"/>
    <w:rsid w:val="00244307"/>
    <w:rsid w:val="00253107"/>
    <w:rsid w:val="002752A1"/>
    <w:rsid w:val="00281F7E"/>
    <w:rsid w:val="00284889"/>
    <w:rsid w:val="00286BF8"/>
    <w:rsid w:val="002904A2"/>
    <w:rsid w:val="002C5A4D"/>
    <w:rsid w:val="002C682A"/>
    <w:rsid w:val="002C71E2"/>
    <w:rsid w:val="002D0EA5"/>
    <w:rsid w:val="002D1904"/>
    <w:rsid w:val="002E3B0A"/>
    <w:rsid w:val="00324485"/>
    <w:rsid w:val="00325F1F"/>
    <w:rsid w:val="00330F77"/>
    <w:rsid w:val="00333559"/>
    <w:rsid w:val="00364DCC"/>
    <w:rsid w:val="003923B0"/>
    <w:rsid w:val="003A0011"/>
    <w:rsid w:val="003A7D9F"/>
    <w:rsid w:val="003D2B18"/>
    <w:rsid w:val="003D5CFD"/>
    <w:rsid w:val="003E2A1F"/>
    <w:rsid w:val="0040305C"/>
    <w:rsid w:val="00405695"/>
    <w:rsid w:val="004138C7"/>
    <w:rsid w:val="00427D13"/>
    <w:rsid w:val="0043376F"/>
    <w:rsid w:val="0043504D"/>
    <w:rsid w:val="0045755E"/>
    <w:rsid w:val="00460755"/>
    <w:rsid w:val="004710F0"/>
    <w:rsid w:val="00485037"/>
    <w:rsid w:val="00491820"/>
    <w:rsid w:val="004A106E"/>
    <w:rsid w:val="004A30BF"/>
    <w:rsid w:val="004D00C6"/>
    <w:rsid w:val="004D02D5"/>
    <w:rsid w:val="004D7DF7"/>
    <w:rsid w:val="004F2E1E"/>
    <w:rsid w:val="00522C66"/>
    <w:rsid w:val="005339F7"/>
    <w:rsid w:val="00540E35"/>
    <w:rsid w:val="005529B7"/>
    <w:rsid w:val="005552E6"/>
    <w:rsid w:val="00555701"/>
    <w:rsid w:val="00561268"/>
    <w:rsid w:val="00590A2A"/>
    <w:rsid w:val="005C00B6"/>
    <w:rsid w:val="005D31AC"/>
    <w:rsid w:val="005F3E0A"/>
    <w:rsid w:val="006234C9"/>
    <w:rsid w:val="00640D24"/>
    <w:rsid w:val="0065139E"/>
    <w:rsid w:val="00652354"/>
    <w:rsid w:val="00654B57"/>
    <w:rsid w:val="00660366"/>
    <w:rsid w:val="006623CB"/>
    <w:rsid w:val="00667DC2"/>
    <w:rsid w:val="006B4824"/>
    <w:rsid w:val="006B5208"/>
    <w:rsid w:val="006D6E38"/>
    <w:rsid w:val="007127DA"/>
    <w:rsid w:val="0075501C"/>
    <w:rsid w:val="007607F3"/>
    <w:rsid w:val="00783E51"/>
    <w:rsid w:val="007D1092"/>
    <w:rsid w:val="008145B8"/>
    <w:rsid w:val="00817061"/>
    <w:rsid w:val="00826B99"/>
    <w:rsid w:val="0084733B"/>
    <w:rsid w:val="00856004"/>
    <w:rsid w:val="00866A50"/>
    <w:rsid w:val="00873FB2"/>
    <w:rsid w:val="00886D44"/>
    <w:rsid w:val="00894712"/>
    <w:rsid w:val="008B41F1"/>
    <w:rsid w:val="008B4AF9"/>
    <w:rsid w:val="008C3BA8"/>
    <w:rsid w:val="008D1C79"/>
    <w:rsid w:val="008D261F"/>
    <w:rsid w:val="009060D2"/>
    <w:rsid w:val="009133CC"/>
    <w:rsid w:val="00924861"/>
    <w:rsid w:val="00935B3B"/>
    <w:rsid w:val="009447D9"/>
    <w:rsid w:val="0097694A"/>
    <w:rsid w:val="009A1804"/>
    <w:rsid w:val="009B62AB"/>
    <w:rsid w:val="009D291A"/>
    <w:rsid w:val="009D534D"/>
    <w:rsid w:val="009F0FF5"/>
    <w:rsid w:val="00A17C6A"/>
    <w:rsid w:val="00A21DD2"/>
    <w:rsid w:val="00A2646B"/>
    <w:rsid w:val="00A27F8A"/>
    <w:rsid w:val="00A72A1C"/>
    <w:rsid w:val="00A956CF"/>
    <w:rsid w:val="00AA356C"/>
    <w:rsid w:val="00AB06AA"/>
    <w:rsid w:val="00AE3558"/>
    <w:rsid w:val="00AE5CA0"/>
    <w:rsid w:val="00AF58DA"/>
    <w:rsid w:val="00B03509"/>
    <w:rsid w:val="00B133BE"/>
    <w:rsid w:val="00B21BD9"/>
    <w:rsid w:val="00B92338"/>
    <w:rsid w:val="00BC03BB"/>
    <w:rsid w:val="00BC3CF9"/>
    <w:rsid w:val="00BD4CC7"/>
    <w:rsid w:val="00BE0E99"/>
    <w:rsid w:val="00BF55D1"/>
    <w:rsid w:val="00C1777A"/>
    <w:rsid w:val="00C179FB"/>
    <w:rsid w:val="00C34EB0"/>
    <w:rsid w:val="00C552FC"/>
    <w:rsid w:val="00C82A4D"/>
    <w:rsid w:val="00CA084A"/>
    <w:rsid w:val="00CB4CA1"/>
    <w:rsid w:val="00CB51E8"/>
    <w:rsid w:val="00CB5319"/>
    <w:rsid w:val="00CC0464"/>
    <w:rsid w:val="00CD3746"/>
    <w:rsid w:val="00D13B6F"/>
    <w:rsid w:val="00D177ED"/>
    <w:rsid w:val="00D200B1"/>
    <w:rsid w:val="00D44FF4"/>
    <w:rsid w:val="00D608C1"/>
    <w:rsid w:val="00D61FB2"/>
    <w:rsid w:val="00D736D4"/>
    <w:rsid w:val="00D7448C"/>
    <w:rsid w:val="00D85287"/>
    <w:rsid w:val="00D92D40"/>
    <w:rsid w:val="00D94D91"/>
    <w:rsid w:val="00D952F4"/>
    <w:rsid w:val="00DC267C"/>
    <w:rsid w:val="00DC7CC0"/>
    <w:rsid w:val="00DE0983"/>
    <w:rsid w:val="00E02DFA"/>
    <w:rsid w:val="00E05E3F"/>
    <w:rsid w:val="00E07347"/>
    <w:rsid w:val="00E121B4"/>
    <w:rsid w:val="00E255EB"/>
    <w:rsid w:val="00E458B8"/>
    <w:rsid w:val="00E47087"/>
    <w:rsid w:val="00E50712"/>
    <w:rsid w:val="00E53B3A"/>
    <w:rsid w:val="00E7051C"/>
    <w:rsid w:val="00E85AC3"/>
    <w:rsid w:val="00EB44BC"/>
    <w:rsid w:val="00ED7863"/>
    <w:rsid w:val="00EF2EF2"/>
    <w:rsid w:val="00EF6B21"/>
    <w:rsid w:val="00F01186"/>
    <w:rsid w:val="00F06F13"/>
    <w:rsid w:val="00F23411"/>
    <w:rsid w:val="00F37D2F"/>
    <w:rsid w:val="00F65E27"/>
    <w:rsid w:val="00F72742"/>
    <w:rsid w:val="00F7431B"/>
    <w:rsid w:val="00F76C89"/>
    <w:rsid w:val="00F93809"/>
    <w:rsid w:val="00FC3D18"/>
    <w:rsid w:val="00FC5C41"/>
    <w:rsid w:val="00FD031A"/>
    <w:rsid w:val="00FD41A5"/>
    <w:rsid w:val="00FF4396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BC"/>
  </w:style>
  <w:style w:type="paragraph" w:styleId="1">
    <w:name w:val="heading 1"/>
    <w:basedOn w:val="a"/>
    <w:next w:val="a"/>
    <w:link w:val="1Char"/>
    <w:uiPriority w:val="9"/>
    <w:qFormat/>
    <w:rsid w:val="000472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D61FB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61FB2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D61FB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D61FB2"/>
    <w:rPr>
      <w:rFonts w:ascii="Calibri" w:hAnsi="Calibri"/>
      <w:noProof/>
    </w:rPr>
  </w:style>
  <w:style w:type="character" w:styleId="a3">
    <w:name w:val="Hyperlink"/>
    <w:basedOn w:val="a0"/>
    <w:uiPriority w:val="99"/>
    <w:unhideWhenUsed/>
    <w:rsid w:val="00D61F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5772"/>
    <w:rPr>
      <w:color w:val="800080"/>
      <w:u w:val="single"/>
    </w:rPr>
  </w:style>
  <w:style w:type="paragraph" w:customStyle="1" w:styleId="xl66">
    <w:name w:val="xl66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C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640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40D24"/>
  </w:style>
  <w:style w:type="paragraph" w:styleId="a7">
    <w:name w:val="footer"/>
    <w:basedOn w:val="a"/>
    <w:link w:val="Char0"/>
    <w:uiPriority w:val="99"/>
    <w:unhideWhenUsed/>
    <w:rsid w:val="00640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40D24"/>
  </w:style>
  <w:style w:type="paragraph" w:styleId="a8">
    <w:name w:val="Body Text"/>
    <w:basedOn w:val="a"/>
    <w:link w:val="Char1"/>
    <w:rsid w:val="00047295"/>
    <w:pPr>
      <w:spacing w:after="0" w:line="240" w:lineRule="auto"/>
    </w:pPr>
    <w:rPr>
      <w:rFonts w:ascii="Times New Roman" w:eastAsia="宋体" w:hAnsi="Times New Roman" w:cs="Times New Roman"/>
      <w:sz w:val="32"/>
      <w:szCs w:val="20"/>
      <w:lang w:val="en-US" w:eastAsia="en-US"/>
    </w:rPr>
  </w:style>
  <w:style w:type="character" w:customStyle="1" w:styleId="Char1">
    <w:name w:val="正文文本 Char"/>
    <w:basedOn w:val="a0"/>
    <w:link w:val="a8"/>
    <w:rsid w:val="00047295"/>
    <w:rPr>
      <w:rFonts w:ascii="Times New Roman" w:eastAsia="宋体" w:hAnsi="Times New Roman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Char"/>
    <w:rsid w:val="00047295"/>
    <w:pPr>
      <w:spacing w:after="0" w:line="360" w:lineRule="auto"/>
      <w:jc w:val="both"/>
    </w:pPr>
    <w:rPr>
      <w:rFonts w:ascii="Times New Roman" w:eastAsia="宋体" w:hAnsi="Times New Roman" w:cs="Times New Roman"/>
      <w:sz w:val="26"/>
      <w:szCs w:val="20"/>
      <w:lang w:val="en-US" w:eastAsia="en-US"/>
    </w:rPr>
  </w:style>
  <w:style w:type="character" w:customStyle="1" w:styleId="2Char">
    <w:name w:val="正文文本 2 Char"/>
    <w:basedOn w:val="a0"/>
    <w:link w:val="2"/>
    <w:rsid w:val="00047295"/>
    <w:rPr>
      <w:rFonts w:ascii="Times New Roman" w:eastAsia="宋体" w:hAnsi="Times New Roman" w:cs="Times New Roman"/>
      <w:sz w:val="26"/>
      <w:szCs w:val="20"/>
      <w:lang w:val="en-US" w:eastAsia="en-US"/>
    </w:rPr>
  </w:style>
  <w:style w:type="paragraph" w:customStyle="1" w:styleId="aff">
    <w:name w:val="aff"/>
    <w:basedOn w:val="1"/>
    <w:rsid w:val="00047295"/>
    <w:pPr>
      <w:keepNext w:val="0"/>
      <w:keepLines w:val="0"/>
      <w:spacing w:before="240" w:after="60" w:line="480" w:lineRule="atLeast"/>
    </w:pPr>
    <w:rPr>
      <w:rFonts w:ascii="Times New Roman" w:eastAsia="Times New Roman" w:hAnsi="Times New Roman" w:cs="Times New Roman"/>
      <w:b w:val="0"/>
      <w:bCs w:val="0"/>
      <w:i/>
      <w:kern w:val="0"/>
      <w:sz w:val="24"/>
      <w:szCs w:val="20"/>
      <w:lang w:val="en-US" w:eastAsia="en-US"/>
    </w:rPr>
  </w:style>
  <w:style w:type="character" w:customStyle="1" w:styleId="1Char">
    <w:name w:val="标题 1 Char"/>
    <w:basedOn w:val="a0"/>
    <w:link w:val="1"/>
    <w:uiPriority w:val="9"/>
    <w:rsid w:val="0004729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BC"/>
  </w:style>
  <w:style w:type="paragraph" w:styleId="1">
    <w:name w:val="heading 1"/>
    <w:basedOn w:val="a"/>
    <w:next w:val="a"/>
    <w:link w:val="1Char"/>
    <w:uiPriority w:val="9"/>
    <w:qFormat/>
    <w:rsid w:val="000472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D61FB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61FB2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D61FB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D61FB2"/>
    <w:rPr>
      <w:rFonts w:ascii="Calibri" w:hAnsi="Calibri"/>
      <w:noProof/>
    </w:rPr>
  </w:style>
  <w:style w:type="character" w:styleId="a3">
    <w:name w:val="Hyperlink"/>
    <w:basedOn w:val="a0"/>
    <w:uiPriority w:val="99"/>
    <w:unhideWhenUsed/>
    <w:rsid w:val="00D61F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5772"/>
    <w:rPr>
      <w:color w:val="800080"/>
      <w:u w:val="single"/>
    </w:rPr>
  </w:style>
  <w:style w:type="paragraph" w:customStyle="1" w:styleId="xl66">
    <w:name w:val="xl66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5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C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640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40D24"/>
  </w:style>
  <w:style w:type="paragraph" w:styleId="a7">
    <w:name w:val="footer"/>
    <w:basedOn w:val="a"/>
    <w:link w:val="Char0"/>
    <w:uiPriority w:val="99"/>
    <w:unhideWhenUsed/>
    <w:rsid w:val="00640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40D24"/>
  </w:style>
  <w:style w:type="paragraph" w:styleId="a8">
    <w:name w:val="Body Text"/>
    <w:basedOn w:val="a"/>
    <w:link w:val="Char1"/>
    <w:rsid w:val="00047295"/>
    <w:pPr>
      <w:spacing w:after="0" w:line="240" w:lineRule="auto"/>
    </w:pPr>
    <w:rPr>
      <w:rFonts w:ascii="Times New Roman" w:eastAsia="宋体" w:hAnsi="Times New Roman" w:cs="Times New Roman"/>
      <w:sz w:val="32"/>
      <w:szCs w:val="20"/>
      <w:lang w:val="en-US" w:eastAsia="en-US"/>
    </w:rPr>
  </w:style>
  <w:style w:type="character" w:customStyle="1" w:styleId="Char1">
    <w:name w:val="正文文本 Char"/>
    <w:basedOn w:val="a0"/>
    <w:link w:val="a8"/>
    <w:rsid w:val="00047295"/>
    <w:rPr>
      <w:rFonts w:ascii="Times New Roman" w:eastAsia="宋体" w:hAnsi="Times New Roman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Char"/>
    <w:rsid w:val="00047295"/>
    <w:pPr>
      <w:spacing w:after="0" w:line="360" w:lineRule="auto"/>
      <w:jc w:val="both"/>
    </w:pPr>
    <w:rPr>
      <w:rFonts w:ascii="Times New Roman" w:eastAsia="宋体" w:hAnsi="Times New Roman" w:cs="Times New Roman"/>
      <w:sz w:val="26"/>
      <w:szCs w:val="20"/>
      <w:lang w:val="en-US" w:eastAsia="en-US"/>
    </w:rPr>
  </w:style>
  <w:style w:type="character" w:customStyle="1" w:styleId="2Char">
    <w:name w:val="正文文本 2 Char"/>
    <w:basedOn w:val="a0"/>
    <w:link w:val="2"/>
    <w:rsid w:val="00047295"/>
    <w:rPr>
      <w:rFonts w:ascii="Times New Roman" w:eastAsia="宋体" w:hAnsi="Times New Roman" w:cs="Times New Roman"/>
      <w:sz w:val="26"/>
      <w:szCs w:val="20"/>
      <w:lang w:val="en-US" w:eastAsia="en-US"/>
    </w:rPr>
  </w:style>
  <w:style w:type="paragraph" w:customStyle="1" w:styleId="aff">
    <w:name w:val="aff"/>
    <w:basedOn w:val="1"/>
    <w:rsid w:val="00047295"/>
    <w:pPr>
      <w:keepNext w:val="0"/>
      <w:keepLines w:val="0"/>
      <w:spacing w:before="240" w:after="60" w:line="480" w:lineRule="atLeast"/>
    </w:pPr>
    <w:rPr>
      <w:rFonts w:ascii="Times New Roman" w:eastAsia="Times New Roman" w:hAnsi="Times New Roman" w:cs="Times New Roman"/>
      <w:b w:val="0"/>
      <w:bCs w:val="0"/>
      <w:i/>
      <w:kern w:val="0"/>
      <w:sz w:val="24"/>
      <w:szCs w:val="20"/>
      <w:lang w:val="en-US" w:eastAsia="en-US"/>
    </w:rPr>
  </w:style>
  <w:style w:type="character" w:customStyle="1" w:styleId="1Char">
    <w:name w:val="标题 1 Char"/>
    <w:basedOn w:val="a0"/>
    <w:link w:val="1"/>
    <w:uiPriority w:val="9"/>
    <w:rsid w:val="0004729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TTTTT</dc:creator>
  <cp:lastModifiedBy>ZHU FENG</cp:lastModifiedBy>
  <cp:revision>27</cp:revision>
  <cp:lastPrinted>2016-03-11T13:25:00Z</cp:lastPrinted>
  <dcterms:created xsi:type="dcterms:W3CDTF">2016-03-11T11:42:00Z</dcterms:created>
  <dcterms:modified xsi:type="dcterms:W3CDTF">2016-04-19T06:28:00Z</dcterms:modified>
</cp:coreProperties>
</file>