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A234" w14:textId="77777777" w:rsidR="00C96932" w:rsidRDefault="00C96932" w:rsidP="00C96932">
      <w:proofErr w:type="gramStart"/>
      <w:r>
        <w:rPr>
          <w:b/>
        </w:rPr>
        <w:t>S1</w:t>
      </w:r>
      <w:r w:rsidRPr="00C9312F">
        <w:rPr>
          <w:b/>
        </w:rPr>
        <w:t xml:space="preserve"> Table</w:t>
      </w:r>
      <w:r w:rsidRPr="00BE775B">
        <w:rPr>
          <w:b/>
        </w:rPr>
        <w:t>.</w:t>
      </w:r>
      <w:proofErr w:type="gramEnd"/>
      <w:r w:rsidRPr="00BE775B">
        <w:rPr>
          <w:b/>
        </w:rPr>
        <w:t xml:space="preserve"> </w:t>
      </w:r>
      <w:proofErr w:type="gramStart"/>
      <w:r w:rsidRPr="00BE775B">
        <w:rPr>
          <w:b/>
        </w:rPr>
        <w:t xml:space="preserve">Percentage of chloroplast and mitochondrial reads </w:t>
      </w:r>
      <w:r w:rsidR="00ED2C0B">
        <w:rPr>
          <w:b/>
        </w:rPr>
        <w:t xml:space="preserve">in the </w:t>
      </w:r>
      <w:r w:rsidRPr="00BE775B">
        <w:rPr>
          <w:b/>
        </w:rPr>
        <w:t>different sample groups.</w:t>
      </w:r>
      <w:proofErr w:type="gramEnd"/>
      <w:r>
        <w:t xml:space="preserve"> Laboratory larvae, larvae that were collected in the field as eggs (field), larvae </w:t>
      </w:r>
      <w:proofErr w:type="gramStart"/>
      <w:r>
        <w:t>that were</w:t>
      </w:r>
      <w:proofErr w:type="gramEnd"/>
      <w:r>
        <w:t xml:space="preserve"> collected in the field as eggs and were kept in the la</w:t>
      </w:r>
      <w:r w:rsidR="00C03136">
        <w:t>boratory for four generations (f</w:t>
      </w:r>
      <w:r>
        <w:t xml:space="preserve">ield-lab), female adults and eggs.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96932" w:rsidRPr="00C9312F" w14:paraId="086B17A7" w14:textId="77777777" w:rsidTr="00DC260B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7AE8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0434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Laboratory larvae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045A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Field larvae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B2C9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Field-lab larvae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A8470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Female</w:t>
            </w:r>
          </w:p>
          <w:p w14:paraId="6D079819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adults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E7FF" w14:textId="77777777" w:rsidR="00C96932" w:rsidRPr="00C9312F" w:rsidRDefault="00C96932" w:rsidP="00DC260B">
            <w:pPr>
              <w:jc w:val="center"/>
              <w:rPr>
                <w:b/>
                <w:sz w:val="20"/>
                <w:szCs w:val="20"/>
              </w:rPr>
            </w:pPr>
            <w:r w:rsidRPr="00C9312F">
              <w:rPr>
                <w:b/>
                <w:sz w:val="20"/>
                <w:szCs w:val="20"/>
              </w:rPr>
              <w:t>Eggs</w:t>
            </w:r>
          </w:p>
        </w:tc>
      </w:tr>
      <w:tr w:rsidR="00C96932" w:rsidRPr="00C9312F" w14:paraId="14576F94" w14:textId="77777777" w:rsidTr="00DC260B"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0F77185E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Chloroplasts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66EE988D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1.51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6A5F4139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21.72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6356060A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0.06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7632A1C5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0.0039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0F74F13D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2.063</w:t>
            </w:r>
          </w:p>
        </w:tc>
      </w:tr>
      <w:tr w:rsidR="00C96932" w:rsidRPr="00C9312F" w14:paraId="30CDEC04" w14:textId="77777777" w:rsidTr="00DC260B">
        <w:tc>
          <w:tcPr>
            <w:tcW w:w="1596" w:type="dxa"/>
            <w:vAlign w:val="center"/>
          </w:tcPr>
          <w:p w14:paraId="79604000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Mitochondria</w:t>
            </w:r>
          </w:p>
        </w:tc>
        <w:tc>
          <w:tcPr>
            <w:tcW w:w="1596" w:type="dxa"/>
            <w:vAlign w:val="center"/>
          </w:tcPr>
          <w:p w14:paraId="7C844BE3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0.19</w:t>
            </w:r>
          </w:p>
        </w:tc>
        <w:tc>
          <w:tcPr>
            <w:tcW w:w="1596" w:type="dxa"/>
            <w:vAlign w:val="center"/>
          </w:tcPr>
          <w:p w14:paraId="7A604876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4.83</w:t>
            </w:r>
          </w:p>
        </w:tc>
        <w:tc>
          <w:tcPr>
            <w:tcW w:w="1596" w:type="dxa"/>
            <w:vAlign w:val="center"/>
          </w:tcPr>
          <w:p w14:paraId="5AC8C097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14:paraId="62914615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14:paraId="7A3A7CAD" w14:textId="77777777" w:rsidR="00C96932" w:rsidRPr="00C9312F" w:rsidRDefault="00C96932" w:rsidP="00DC260B">
            <w:pPr>
              <w:jc w:val="center"/>
              <w:rPr>
                <w:sz w:val="20"/>
                <w:szCs w:val="20"/>
              </w:rPr>
            </w:pPr>
            <w:r w:rsidRPr="00C9312F">
              <w:rPr>
                <w:sz w:val="20"/>
                <w:szCs w:val="20"/>
              </w:rPr>
              <w:t>0.078</w:t>
            </w:r>
          </w:p>
        </w:tc>
      </w:tr>
    </w:tbl>
    <w:p w14:paraId="28DEB027" w14:textId="77777777" w:rsidR="00C96932" w:rsidRPr="00226184" w:rsidRDefault="00C96932" w:rsidP="0059738B">
      <w:bookmarkStart w:id="0" w:name="_GoBack"/>
      <w:bookmarkEnd w:id="0"/>
    </w:p>
    <w:sectPr w:rsidR="00C96932" w:rsidRPr="0022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B"/>
    <w:rsid w:val="000B1D33"/>
    <w:rsid w:val="000C72C3"/>
    <w:rsid w:val="000D2487"/>
    <w:rsid w:val="000F1C68"/>
    <w:rsid w:val="000F4815"/>
    <w:rsid w:val="00122C9C"/>
    <w:rsid w:val="00127CFA"/>
    <w:rsid w:val="00194C5C"/>
    <w:rsid w:val="001B135C"/>
    <w:rsid w:val="001E5F29"/>
    <w:rsid w:val="00226184"/>
    <w:rsid w:val="00257AEC"/>
    <w:rsid w:val="00270260"/>
    <w:rsid w:val="0028313B"/>
    <w:rsid w:val="00287D78"/>
    <w:rsid w:val="002D2B7A"/>
    <w:rsid w:val="002E1BD5"/>
    <w:rsid w:val="002E50A7"/>
    <w:rsid w:val="00332284"/>
    <w:rsid w:val="0034085C"/>
    <w:rsid w:val="003C3CBD"/>
    <w:rsid w:val="0040145B"/>
    <w:rsid w:val="00411685"/>
    <w:rsid w:val="00453AB8"/>
    <w:rsid w:val="00462A12"/>
    <w:rsid w:val="004D66D0"/>
    <w:rsid w:val="004E7D7A"/>
    <w:rsid w:val="00522848"/>
    <w:rsid w:val="005348A9"/>
    <w:rsid w:val="0059738B"/>
    <w:rsid w:val="005C204B"/>
    <w:rsid w:val="005D7A05"/>
    <w:rsid w:val="00606960"/>
    <w:rsid w:val="006072CB"/>
    <w:rsid w:val="00653036"/>
    <w:rsid w:val="006716A1"/>
    <w:rsid w:val="006955D5"/>
    <w:rsid w:val="006A0D51"/>
    <w:rsid w:val="00730230"/>
    <w:rsid w:val="007C4AD2"/>
    <w:rsid w:val="007D4AF7"/>
    <w:rsid w:val="007D7A7A"/>
    <w:rsid w:val="008073F9"/>
    <w:rsid w:val="008509FA"/>
    <w:rsid w:val="008D20BB"/>
    <w:rsid w:val="008E1935"/>
    <w:rsid w:val="008E6BD3"/>
    <w:rsid w:val="00946A8D"/>
    <w:rsid w:val="00985769"/>
    <w:rsid w:val="009C0105"/>
    <w:rsid w:val="00A06C4A"/>
    <w:rsid w:val="00A12A24"/>
    <w:rsid w:val="00A264E9"/>
    <w:rsid w:val="00A574E4"/>
    <w:rsid w:val="00AF36B6"/>
    <w:rsid w:val="00B0037C"/>
    <w:rsid w:val="00B16782"/>
    <w:rsid w:val="00B361C3"/>
    <w:rsid w:val="00B5371D"/>
    <w:rsid w:val="00B559E7"/>
    <w:rsid w:val="00B8466D"/>
    <w:rsid w:val="00B965E6"/>
    <w:rsid w:val="00BE775B"/>
    <w:rsid w:val="00BF2B14"/>
    <w:rsid w:val="00C03136"/>
    <w:rsid w:val="00C033EB"/>
    <w:rsid w:val="00C03C02"/>
    <w:rsid w:val="00C6282E"/>
    <w:rsid w:val="00C72BCD"/>
    <w:rsid w:val="00C834A7"/>
    <w:rsid w:val="00C9312F"/>
    <w:rsid w:val="00C96932"/>
    <w:rsid w:val="00CC2835"/>
    <w:rsid w:val="00CC5650"/>
    <w:rsid w:val="00CC6313"/>
    <w:rsid w:val="00CF4FA0"/>
    <w:rsid w:val="00CF6065"/>
    <w:rsid w:val="00D062D4"/>
    <w:rsid w:val="00D2483B"/>
    <w:rsid w:val="00DC32D6"/>
    <w:rsid w:val="00E26A98"/>
    <w:rsid w:val="00E83AD4"/>
    <w:rsid w:val="00E84536"/>
    <w:rsid w:val="00EB7786"/>
    <w:rsid w:val="00ED05F2"/>
    <w:rsid w:val="00ED2C0B"/>
    <w:rsid w:val="00EE757E"/>
    <w:rsid w:val="00EF0F5E"/>
    <w:rsid w:val="00F0520E"/>
    <w:rsid w:val="00F2160C"/>
    <w:rsid w:val="00FF2AA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B9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6D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3EB"/>
    <w:pPr>
      <w:spacing w:after="0" w:line="240" w:lineRule="auto"/>
      <w:jc w:val="both"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0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3EB"/>
    <w:rPr>
      <w:sz w:val="20"/>
      <w:szCs w:val="20"/>
    </w:rPr>
  </w:style>
  <w:style w:type="table" w:customStyle="1" w:styleId="HelleSchattierung1">
    <w:name w:val="Helle Schattierung1"/>
    <w:basedOn w:val="TableNormal"/>
    <w:uiPriority w:val="60"/>
    <w:rsid w:val="00C033EB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B"/>
    <w:rPr>
      <w:rFonts w:ascii="Tahoma" w:hAnsi="Tahoma" w:cs="Tahoma"/>
      <w:sz w:val="16"/>
      <w:szCs w:val="16"/>
    </w:rPr>
  </w:style>
  <w:style w:type="paragraph" w:customStyle="1" w:styleId="Mastaal">
    <w:name w:val="Mastaal"/>
    <w:basedOn w:val="Normal"/>
    <w:qFormat/>
    <w:rsid w:val="00453AB8"/>
    <w:pPr>
      <w:spacing w:line="480" w:lineRule="auto"/>
      <w:ind w:firstLine="720"/>
    </w:pPr>
    <w:rPr>
      <w:sz w:val="24"/>
    </w:rPr>
  </w:style>
  <w:style w:type="table" w:styleId="TableGrid">
    <w:name w:val="Table Grid"/>
    <w:basedOn w:val="TableNormal"/>
    <w:uiPriority w:val="59"/>
    <w:rsid w:val="0046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6D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3EB"/>
    <w:pPr>
      <w:spacing w:after="0" w:line="240" w:lineRule="auto"/>
      <w:jc w:val="both"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0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3EB"/>
    <w:rPr>
      <w:sz w:val="20"/>
      <w:szCs w:val="20"/>
    </w:rPr>
  </w:style>
  <w:style w:type="table" w:customStyle="1" w:styleId="HelleSchattierung1">
    <w:name w:val="Helle Schattierung1"/>
    <w:basedOn w:val="TableNormal"/>
    <w:uiPriority w:val="60"/>
    <w:rsid w:val="00C033EB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B"/>
    <w:rPr>
      <w:rFonts w:ascii="Tahoma" w:hAnsi="Tahoma" w:cs="Tahoma"/>
      <w:sz w:val="16"/>
      <w:szCs w:val="16"/>
    </w:rPr>
  </w:style>
  <w:style w:type="paragraph" w:customStyle="1" w:styleId="Mastaal">
    <w:name w:val="Mastaal"/>
    <w:basedOn w:val="Normal"/>
    <w:qFormat/>
    <w:rsid w:val="00453AB8"/>
    <w:pPr>
      <w:spacing w:line="480" w:lineRule="auto"/>
      <w:ind w:firstLine="720"/>
    </w:pPr>
    <w:rPr>
      <w:sz w:val="24"/>
    </w:rPr>
  </w:style>
  <w:style w:type="table" w:styleId="TableGrid">
    <w:name w:val="Table Grid"/>
    <w:basedOn w:val="TableNormal"/>
    <w:uiPriority w:val="59"/>
    <w:rsid w:val="0046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Owner</cp:lastModifiedBy>
  <cp:revision>3</cp:revision>
  <cp:lastPrinted>2016-01-27T17:44:00Z</cp:lastPrinted>
  <dcterms:created xsi:type="dcterms:W3CDTF">2016-04-19T11:01:00Z</dcterms:created>
  <dcterms:modified xsi:type="dcterms:W3CDTF">2016-04-19T11:03:00Z</dcterms:modified>
</cp:coreProperties>
</file>