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9F496" w14:textId="77777777" w:rsidR="006A2B3A" w:rsidRDefault="006A2B3A" w:rsidP="006A2B3A">
      <w:pPr>
        <w:pStyle w:val="Heading2"/>
      </w:pPr>
      <w:r>
        <w:t>Albania – Kosovo</w:t>
      </w:r>
    </w:p>
    <w:p w14:paraId="33D8E97F" w14:textId="4DBEE7D5" w:rsidR="006A2B3A" w:rsidRDefault="006A2B3A" w:rsidP="006A2B3A">
      <w:pPr>
        <w:pStyle w:val="ListParagraph"/>
        <w:numPr>
          <w:ilvl w:val="0"/>
          <w:numId w:val="1"/>
        </w:numPr>
      </w:pPr>
      <w:r w:rsidRPr="001C0E91">
        <w:rPr>
          <w:b/>
        </w:rPr>
        <w:t>Albania and Kosovo</w:t>
      </w:r>
      <w:r>
        <w:t xml:space="preserve"> have only split recently</w:t>
      </w:r>
      <w:r w:rsidR="002A6797">
        <w:t xml:space="preserve"> -</w:t>
      </w:r>
      <w:r>
        <w:t xml:space="preserve"> within the last 5 years. Kosovo is still not a recognised state by all countries around the world. </w:t>
      </w:r>
    </w:p>
    <w:p w14:paraId="0429F145" w14:textId="7C0DB30D" w:rsidR="002D576F" w:rsidRPr="009A0E26" w:rsidRDefault="006A2B3A" w:rsidP="009A0E26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>
        <w:t>Kosovo declared their independence from Albania in February 2008</w:t>
      </w:r>
      <w:r w:rsidR="005E5F30">
        <w:t>.</w:t>
      </w:r>
    </w:p>
    <w:p w14:paraId="6C88BDE7" w14:textId="0E12877C" w:rsidR="009A0E26" w:rsidRPr="009A0E26" w:rsidRDefault="009A0E26" w:rsidP="005E5F30">
      <w:pPr>
        <w:pStyle w:val="ListParagraph"/>
        <w:numPr>
          <w:ilvl w:val="2"/>
          <w:numId w:val="1"/>
        </w:numPr>
        <w:rPr>
          <w:i/>
        </w:rPr>
      </w:pPr>
      <w:r w:rsidRPr="009A0E26">
        <w:rPr>
          <w:rStyle w:val="Hyperlink"/>
          <w:color w:val="auto"/>
          <w:u w:val="none"/>
        </w:rPr>
        <w:t>CIA</w:t>
      </w:r>
      <w:r>
        <w:rPr>
          <w:rStyle w:val="Hyperlink"/>
          <w:color w:val="auto"/>
          <w:u w:val="none"/>
        </w:rPr>
        <w:t xml:space="preserve">. (2014). </w:t>
      </w:r>
      <w:proofErr w:type="gramStart"/>
      <w:r w:rsidRPr="009A0E26">
        <w:rPr>
          <w:rStyle w:val="Hyperlink"/>
          <w:i/>
          <w:color w:val="auto"/>
          <w:u w:val="none"/>
        </w:rPr>
        <w:t>The</w:t>
      </w:r>
      <w:proofErr w:type="gramEnd"/>
      <w:r>
        <w:rPr>
          <w:rStyle w:val="Hyperlink"/>
          <w:color w:val="auto"/>
          <w:u w:val="none"/>
        </w:rPr>
        <w:t xml:space="preserve"> </w:t>
      </w:r>
      <w:r>
        <w:rPr>
          <w:rStyle w:val="Hyperlink"/>
          <w:i/>
          <w:color w:val="auto"/>
          <w:u w:val="none"/>
        </w:rPr>
        <w:t xml:space="preserve">World </w:t>
      </w:r>
      <w:proofErr w:type="spellStart"/>
      <w:r>
        <w:rPr>
          <w:rStyle w:val="Hyperlink"/>
          <w:i/>
          <w:color w:val="auto"/>
          <w:u w:val="none"/>
        </w:rPr>
        <w:t>Factbook</w:t>
      </w:r>
      <w:proofErr w:type="spellEnd"/>
      <w:r>
        <w:rPr>
          <w:rStyle w:val="Hyperlink"/>
          <w:i/>
          <w:color w:val="auto"/>
          <w:u w:val="none"/>
        </w:rPr>
        <w:t xml:space="preserve"> – Kosovo. </w:t>
      </w:r>
      <w:r>
        <w:rPr>
          <w:rStyle w:val="Hyperlink"/>
          <w:color w:val="auto"/>
          <w:u w:val="none"/>
        </w:rPr>
        <w:t xml:space="preserve">Retrieved from </w:t>
      </w:r>
      <w:hyperlink r:id="rId7" w:history="1">
        <w:r>
          <w:rPr>
            <w:rStyle w:val="Hyperlink"/>
          </w:rPr>
          <w:t>https://www.cia.gov/library/publications/the-world-factbook/geos/kv.html</w:t>
        </w:r>
      </w:hyperlink>
    </w:p>
    <w:p w14:paraId="7875751C" w14:textId="77777777" w:rsidR="006A2B3A" w:rsidRDefault="006A2B3A" w:rsidP="006A2B3A">
      <w:pPr>
        <w:pStyle w:val="Heading2"/>
      </w:pPr>
      <w:r>
        <w:t>Netherland – Orange Free State (OFS)</w:t>
      </w:r>
    </w:p>
    <w:p w14:paraId="4D1AAC08" w14:textId="77777777" w:rsidR="006A2B3A" w:rsidRDefault="006A2B3A" w:rsidP="006A2B3A">
      <w:pPr>
        <w:pStyle w:val="ListParagraph"/>
        <w:numPr>
          <w:ilvl w:val="0"/>
          <w:numId w:val="1"/>
        </w:numPr>
      </w:pPr>
      <w:r w:rsidRPr="001C0E91">
        <w:rPr>
          <w:b/>
          <w:lang w:eastAsia="en-NZ"/>
        </w:rPr>
        <w:t>Orange Free State</w:t>
      </w:r>
      <w:r w:rsidRPr="006A2B3A">
        <w:rPr>
          <w:lang w:eastAsia="en-NZ"/>
        </w:rPr>
        <w:t xml:space="preserve"> was formed in 1854, following a treaty signed by the British. It ceased to exist in 1902 as the result of a treaty which ended the second Boer war.</w:t>
      </w:r>
    </w:p>
    <w:p w14:paraId="13E799D6" w14:textId="4272C093" w:rsidR="005E5F30" w:rsidRPr="009A0E26" w:rsidRDefault="005E5F30" w:rsidP="009A0E26">
      <w:pPr>
        <w:pStyle w:val="ListParagraph"/>
        <w:numPr>
          <w:ilvl w:val="2"/>
          <w:numId w:val="1"/>
        </w:numPr>
        <w:rPr>
          <w:rStyle w:val="Hyperlink"/>
          <w:color w:val="auto"/>
          <w:u w:val="none"/>
        </w:rPr>
      </w:pPr>
      <w:r w:rsidRPr="009A0E26">
        <w:rPr>
          <w:lang w:eastAsia="en-NZ"/>
        </w:rPr>
        <w:t>US Department of State: Office of Historian</w:t>
      </w:r>
      <w:r w:rsidR="009A0E26">
        <w:rPr>
          <w:lang w:eastAsia="en-NZ"/>
        </w:rPr>
        <w:t xml:space="preserve">. () </w:t>
      </w:r>
      <w:r w:rsidR="009A0E26" w:rsidRPr="009A0E26">
        <w:rPr>
          <w:i/>
          <w:lang w:val="en"/>
        </w:rPr>
        <w:t>A Guide to the United States' History of Recognition, Diplomatic, and Consular Relations, by Countr</w:t>
      </w:r>
      <w:r w:rsidR="009A0E26">
        <w:rPr>
          <w:i/>
          <w:lang w:val="en"/>
        </w:rPr>
        <w:t xml:space="preserve">y, since 1776: Orange Free State. </w:t>
      </w:r>
      <w:r w:rsidR="009A0E26">
        <w:rPr>
          <w:lang w:val="en"/>
        </w:rPr>
        <w:t xml:space="preserve">Retrieved from </w:t>
      </w:r>
      <w:hyperlink r:id="rId8" w:history="1">
        <w:r w:rsidR="009A0E26" w:rsidRPr="00BB732D">
          <w:rPr>
            <w:rStyle w:val="Hyperlink"/>
          </w:rPr>
          <w:t>http://history.state.gov/countries/orange-free-state</w:t>
        </w:r>
      </w:hyperlink>
    </w:p>
    <w:p w14:paraId="3705727F" w14:textId="77777777" w:rsidR="004C53B7" w:rsidRDefault="004C53B7" w:rsidP="004C53B7">
      <w:pPr>
        <w:pStyle w:val="Heading2"/>
      </w:pPr>
      <w:r>
        <w:t>Czechoslovakia – Czech Rep. – Slovakia</w:t>
      </w:r>
    </w:p>
    <w:p w14:paraId="67063E1D" w14:textId="77777777" w:rsidR="004C53B7" w:rsidRDefault="004C53B7" w:rsidP="004C53B7">
      <w:pPr>
        <w:pStyle w:val="ListParagraph"/>
        <w:numPr>
          <w:ilvl w:val="0"/>
          <w:numId w:val="1"/>
        </w:numPr>
      </w:pPr>
      <w:r>
        <w:t xml:space="preserve">Czechoslovakia was dissolved 21 years ago (1992) into the states Czech Republic and Slovakia </w:t>
      </w:r>
    </w:p>
    <w:p w14:paraId="7589BF6A" w14:textId="595B34DC" w:rsidR="004C53B7" w:rsidRPr="004C53B7" w:rsidRDefault="009A0E26" w:rsidP="004C53B7">
      <w:pPr>
        <w:pStyle w:val="ListParagraph"/>
        <w:numPr>
          <w:ilvl w:val="1"/>
          <w:numId w:val="1"/>
        </w:numPr>
        <w:rPr>
          <w:i/>
        </w:rPr>
      </w:pPr>
      <w:r>
        <w:t xml:space="preserve">CIA. (2014). </w:t>
      </w:r>
      <w:proofErr w:type="gramStart"/>
      <w:r w:rsidRPr="009A0E26">
        <w:rPr>
          <w:i/>
        </w:rPr>
        <w:t>The</w:t>
      </w:r>
      <w:proofErr w:type="gramEnd"/>
      <w:r w:rsidRPr="009A0E26">
        <w:rPr>
          <w:i/>
        </w:rPr>
        <w:t xml:space="preserve"> World</w:t>
      </w:r>
      <w:r w:rsidR="004C53B7" w:rsidRPr="009A0E26">
        <w:rPr>
          <w:i/>
        </w:rPr>
        <w:t xml:space="preserve"> </w:t>
      </w:r>
      <w:proofErr w:type="spellStart"/>
      <w:r w:rsidR="004C53B7" w:rsidRPr="009A0E26">
        <w:rPr>
          <w:i/>
        </w:rPr>
        <w:t>Factbook</w:t>
      </w:r>
      <w:proofErr w:type="spellEnd"/>
      <w:r>
        <w:rPr>
          <w:i/>
        </w:rPr>
        <w:t xml:space="preserve"> – Czech Republic. </w:t>
      </w:r>
      <w:r>
        <w:t xml:space="preserve">Retrieved from </w:t>
      </w:r>
      <w:r w:rsidR="004C53B7" w:rsidRPr="004C53B7">
        <w:rPr>
          <w:i/>
        </w:rPr>
        <w:t xml:space="preserve"> </w:t>
      </w:r>
      <w:hyperlink r:id="rId9" w:history="1">
        <w:r w:rsidR="004C53B7" w:rsidRPr="009A0E26">
          <w:rPr>
            <w:rStyle w:val="Hyperlink"/>
          </w:rPr>
          <w:t>https://www.cia.gov/library/publications/the-world-factbook/geos/ez.html</w:t>
        </w:r>
      </w:hyperlink>
    </w:p>
    <w:p w14:paraId="40814064" w14:textId="77777777" w:rsidR="006A2B3A" w:rsidRDefault="006A2B3A" w:rsidP="006A2B3A">
      <w:pPr>
        <w:pStyle w:val="Heading2"/>
      </w:pPr>
      <w:r>
        <w:t>English Colonies</w:t>
      </w:r>
    </w:p>
    <w:p w14:paraId="399011F9" w14:textId="04407631" w:rsidR="006A2B3A" w:rsidRDefault="006A2B3A" w:rsidP="006A2B3A">
      <w:pPr>
        <w:pStyle w:val="ListParagraph"/>
        <w:numPr>
          <w:ilvl w:val="0"/>
          <w:numId w:val="1"/>
        </w:numPr>
      </w:pPr>
      <w:r w:rsidRPr="001C0E91">
        <w:rPr>
          <w:b/>
        </w:rPr>
        <w:t>USA:</w:t>
      </w:r>
      <w:r>
        <w:t xml:space="preserve"> </w:t>
      </w:r>
      <w:r w:rsidRPr="006A2B3A">
        <w:t xml:space="preserve">Europeans had started colonizing Canada &amp; America by the early 1600's. </w:t>
      </w:r>
      <w:r>
        <w:t>USA was under British rule from 1770</w:t>
      </w:r>
      <w:r w:rsidRPr="006A2B3A">
        <w:t xml:space="preserve">.  </w:t>
      </w:r>
      <w:r w:rsidR="00E4365D">
        <w:t xml:space="preserve">We inserted a binary split from English_ST 237 years ago (1776) when </w:t>
      </w:r>
      <w:r w:rsidRPr="006A2B3A">
        <w:t>America</w:t>
      </w:r>
      <w:r>
        <w:t xml:space="preserve"> declared independence</w:t>
      </w:r>
      <w:r w:rsidR="00E4365D">
        <w:t xml:space="preserve"> from Britain</w:t>
      </w:r>
      <w:r>
        <w:t xml:space="preserve">. </w:t>
      </w:r>
    </w:p>
    <w:p w14:paraId="670E4888" w14:textId="76608F9A" w:rsidR="005E5F30" w:rsidRPr="005E5F30" w:rsidRDefault="005E5F30" w:rsidP="005E5F30">
      <w:pPr>
        <w:pStyle w:val="ListParagraph"/>
        <w:numPr>
          <w:ilvl w:val="1"/>
          <w:numId w:val="1"/>
        </w:numPr>
        <w:rPr>
          <w:i/>
        </w:rPr>
      </w:pPr>
      <w:r w:rsidRPr="009A0E26">
        <w:t>Library of Congress</w:t>
      </w:r>
      <w:r w:rsidR="009A0E26">
        <w:t xml:space="preserve"> (1776)</w:t>
      </w:r>
      <w:r w:rsidR="009A0E26">
        <w:rPr>
          <w:i/>
        </w:rPr>
        <w:t xml:space="preserve"> Declaration of Independence. </w:t>
      </w:r>
      <w:r w:rsidR="009A0E26">
        <w:t xml:space="preserve">Retrieved from </w:t>
      </w:r>
      <w:hyperlink r:id="rId10" w:history="1">
        <w:r w:rsidRPr="005E5F30">
          <w:rPr>
            <w:rStyle w:val="Hyperlink"/>
            <w:i/>
          </w:rPr>
          <w:t>http://www.loc.gov/rr/program/bib/ourdocs/DeclarInd.html</w:t>
        </w:r>
      </w:hyperlink>
    </w:p>
    <w:p w14:paraId="2A0189C3" w14:textId="62E458A7" w:rsidR="006A2B3A" w:rsidRDefault="006A2B3A" w:rsidP="006A2B3A">
      <w:pPr>
        <w:pStyle w:val="ListParagraph"/>
        <w:numPr>
          <w:ilvl w:val="0"/>
          <w:numId w:val="1"/>
        </w:numPr>
      </w:pPr>
      <w:r w:rsidRPr="001C0E91">
        <w:rPr>
          <w:b/>
        </w:rPr>
        <w:t>Canada:</w:t>
      </w:r>
      <w:r>
        <w:t xml:space="preserve"> </w:t>
      </w:r>
      <w:r w:rsidRPr="006A2B3A">
        <w:t xml:space="preserve">Europeans had started colonizing Canada &amp; America by the early 1600's. </w:t>
      </w:r>
      <w:r>
        <w:t>Canada was under British rule from 1763.</w:t>
      </w:r>
      <w:r w:rsidR="00BF25CE">
        <w:t xml:space="preserve"> Canada declared independence in 1867.</w:t>
      </w:r>
      <w:r>
        <w:t xml:space="preserve"> </w:t>
      </w:r>
      <w:r w:rsidR="00E4365D">
        <w:t xml:space="preserve">We inserted </w:t>
      </w:r>
      <w:r w:rsidR="00BF25CE">
        <w:t>a polytomy</w:t>
      </w:r>
      <w:r w:rsidR="00E4365D">
        <w:t xml:space="preserve"> in 1863 (150 years ago) for all of Canada, New Zealand &amp; Australia. </w:t>
      </w:r>
      <w:r w:rsidR="00BF25CE">
        <w:t xml:space="preserve">The </w:t>
      </w:r>
      <w:r w:rsidR="002A6797">
        <w:t>difference</w:t>
      </w:r>
      <w:r w:rsidR="00BF25CE">
        <w:t xml:space="preserve"> between each of these countr</w:t>
      </w:r>
      <w:r w:rsidR="00055244">
        <w:t>y’s</w:t>
      </w:r>
      <w:r w:rsidR="00BF25CE">
        <w:t xml:space="preserve"> divergence from English culture was deemed to be negligible, which allows for the polytomy.</w:t>
      </w:r>
      <w:r>
        <w:t xml:space="preserve"> </w:t>
      </w:r>
    </w:p>
    <w:p w14:paraId="180EB716" w14:textId="6CF3D58B" w:rsidR="005E5F30" w:rsidRDefault="009A0E26" w:rsidP="009A0E26">
      <w:pPr>
        <w:pStyle w:val="ListParagraph"/>
        <w:numPr>
          <w:ilvl w:val="1"/>
          <w:numId w:val="1"/>
        </w:numPr>
      </w:pPr>
      <w:r>
        <w:t xml:space="preserve">CIA. (2014).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World </w:t>
      </w:r>
      <w:proofErr w:type="spellStart"/>
      <w:r>
        <w:rPr>
          <w:i/>
        </w:rPr>
        <w:t>Factbook</w:t>
      </w:r>
      <w:proofErr w:type="spellEnd"/>
      <w:r>
        <w:rPr>
          <w:i/>
        </w:rPr>
        <w:t xml:space="preserve"> – Canada. </w:t>
      </w:r>
      <w:r w:rsidRPr="009A0E26">
        <w:t>Retrieved from</w:t>
      </w:r>
      <w:r>
        <w:rPr>
          <w:i/>
        </w:rPr>
        <w:t xml:space="preserve"> </w:t>
      </w:r>
      <w:r w:rsidRPr="007E5BF6">
        <w:rPr>
          <w:u w:val="single"/>
        </w:rPr>
        <w:t>https://www.cia.gov/library/publications/the-world-factbook/geos/ca.html</w:t>
      </w:r>
    </w:p>
    <w:p w14:paraId="07929825" w14:textId="09239FFA" w:rsidR="002E6176" w:rsidRDefault="002E6176" w:rsidP="006A2B3A">
      <w:pPr>
        <w:pStyle w:val="ListParagraph"/>
        <w:numPr>
          <w:ilvl w:val="0"/>
          <w:numId w:val="1"/>
        </w:numPr>
      </w:pPr>
      <w:r w:rsidRPr="001C0E91">
        <w:rPr>
          <w:b/>
        </w:rPr>
        <w:t>Australia:</w:t>
      </w:r>
      <w:r>
        <w:t xml:space="preserve"> </w:t>
      </w:r>
      <w:r w:rsidRPr="002E6176">
        <w:t>Australian colonization began around 1788, with a settlement in NSW.</w:t>
      </w:r>
      <w:r>
        <w:t xml:space="preserve"> </w:t>
      </w:r>
      <w:r w:rsidR="009A0E26">
        <w:t>Limited s</w:t>
      </w:r>
      <w:r>
        <w:t>elf-gov</w:t>
      </w:r>
      <w:r w:rsidR="009A0E26">
        <w:t>ernance laws were passed in 1855</w:t>
      </w:r>
      <w:r>
        <w:t xml:space="preserve">. However, Australia remains a colony to Britain. </w:t>
      </w:r>
      <w:r w:rsidR="00BF25CE">
        <w:t xml:space="preserve">Australia was placed in a polytomy with Canada &amp; New Zealand 150 years ago, for reasons stated above. </w:t>
      </w:r>
    </w:p>
    <w:p w14:paraId="1DE36C0E" w14:textId="001571FA" w:rsidR="005E5F30" w:rsidRDefault="005E5F30" w:rsidP="005E5F30">
      <w:pPr>
        <w:pStyle w:val="ListParagraph"/>
        <w:numPr>
          <w:ilvl w:val="1"/>
          <w:numId w:val="1"/>
        </w:numPr>
      </w:pPr>
      <w:r w:rsidRPr="009A0E26">
        <w:t>Australian Electoral Commission</w:t>
      </w:r>
      <w:r w:rsidR="009A0E26">
        <w:rPr>
          <w:i/>
        </w:rPr>
        <w:t xml:space="preserve">. </w:t>
      </w:r>
      <w:r w:rsidR="009A0E26" w:rsidRPr="009A0E26">
        <w:t>(</w:t>
      </w:r>
      <w:r w:rsidR="009A0E26">
        <w:t>2011</w:t>
      </w:r>
      <w:r w:rsidR="009A0E26" w:rsidRPr="009A0E26">
        <w:t>)</w:t>
      </w:r>
      <w:r w:rsidR="009A0E26">
        <w:rPr>
          <w:i/>
        </w:rPr>
        <w:t xml:space="preserve">. Australia’s major electoral developments timeline: 1788 – 1899. </w:t>
      </w:r>
      <w:r w:rsidR="009A0E26">
        <w:t xml:space="preserve">Retrieved from </w:t>
      </w:r>
      <w:hyperlink r:id="rId11" w:history="1">
        <w:r>
          <w:rPr>
            <w:rStyle w:val="Hyperlink"/>
          </w:rPr>
          <w:t>http://aec.gov.au/Elections/Australian_Electoral_History/reform.htm</w:t>
        </w:r>
      </w:hyperlink>
    </w:p>
    <w:p w14:paraId="38B519CC" w14:textId="51C2326D" w:rsidR="002E6176" w:rsidRDefault="002E6176" w:rsidP="006A2B3A">
      <w:pPr>
        <w:pStyle w:val="ListParagraph"/>
        <w:numPr>
          <w:ilvl w:val="0"/>
          <w:numId w:val="1"/>
        </w:numPr>
      </w:pPr>
      <w:r w:rsidRPr="001C0E91">
        <w:rPr>
          <w:b/>
        </w:rPr>
        <w:t>New Zealand:</w:t>
      </w:r>
      <w:r>
        <w:t xml:space="preserve"> Colonization began in 1828, with settlements in Keri-keri &amp; Bluff. Self</w:t>
      </w:r>
      <w:r w:rsidR="001C0E91">
        <w:t>-governance laws were passed in</w:t>
      </w:r>
      <w:r>
        <w:t xml:space="preserve"> 1852. NZ remains a colony to Britain. </w:t>
      </w:r>
      <w:r w:rsidR="00BF25CE">
        <w:t xml:space="preserve">New Zealand was placed in a polytomy with Australia &amp; Canada 150 years ago, for reasons stated above. </w:t>
      </w:r>
    </w:p>
    <w:p w14:paraId="34EAB70C" w14:textId="79AFF60C" w:rsidR="00B375AD" w:rsidRPr="005E5F30" w:rsidRDefault="00B375AD" w:rsidP="005E5F30">
      <w:pPr>
        <w:pStyle w:val="ListParagraph"/>
        <w:numPr>
          <w:ilvl w:val="1"/>
          <w:numId w:val="1"/>
        </w:numPr>
        <w:rPr>
          <w:i/>
        </w:rPr>
      </w:pPr>
      <w:proofErr w:type="spellStart"/>
      <w:r>
        <w:lastRenderedPageBreak/>
        <w:t>Taiwhanga</w:t>
      </w:r>
      <w:proofErr w:type="spellEnd"/>
      <w:r>
        <w:t xml:space="preserve">, S. D. (1888). </w:t>
      </w:r>
      <w:r>
        <w:rPr>
          <w:i/>
        </w:rPr>
        <w:t xml:space="preserve">The New Zealand Constitution Act – 15 and 16 Victoria, Cap. 72 Sec. 71. </w:t>
      </w:r>
      <w:r>
        <w:t xml:space="preserve">Retrieved from </w:t>
      </w:r>
      <w:hyperlink r:id="rId12" w:history="1">
        <w:r w:rsidRPr="00B375AD">
          <w:rPr>
            <w:rStyle w:val="Hyperlink"/>
          </w:rPr>
          <w:t>http://nzetc.victoria.ac.nz/tm/scholarly/tei-TaiProp-t1-g1-t1-body1-d8.html</w:t>
        </w:r>
      </w:hyperlink>
    </w:p>
    <w:p w14:paraId="49FDB8CA" w14:textId="49D94843" w:rsidR="002E6176" w:rsidRDefault="002E6176" w:rsidP="006A2B3A">
      <w:pPr>
        <w:pStyle w:val="ListParagraph"/>
        <w:numPr>
          <w:ilvl w:val="0"/>
          <w:numId w:val="1"/>
        </w:numPr>
      </w:pPr>
      <w:r w:rsidRPr="001C0E91">
        <w:rPr>
          <w:b/>
        </w:rPr>
        <w:t>Trinidad &amp; Tobago:</w:t>
      </w:r>
      <w:r>
        <w:t xml:space="preserve"> 1797, after a tumultuous history, Britain gained sole colonization of T&amp;T. In 1962, T&amp;T declared its independence from Britain. </w:t>
      </w:r>
      <w:r w:rsidR="00BF25CE">
        <w:t>Trinidad &amp; Tobago was placed in a polytomy with Jamaica and English_ST starting 51 years ago</w:t>
      </w:r>
      <w:r w:rsidR="0038544B">
        <w:t xml:space="preserve"> (1962)</w:t>
      </w:r>
      <w:r w:rsidR="00BF25CE">
        <w:t xml:space="preserve">. The independence of Jamaica and T&amp;T was used as a point of divergence from English culture. </w:t>
      </w:r>
    </w:p>
    <w:p w14:paraId="15F4EB18" w14:textId="50BB7BC0" w:rsidR="00C62AB0" w:rsidRPr="00586CAF" w:rsidRDefault="00C62AB0" w:rsidP="005E5F30">
      <w:pPr>
        <w:pStyle w:val="ListParagraph"/>
        <w:numPr>
          <w:ilvl w:val="1"/>
          <w:numId w:val="1"/>
        </w:numPr>
        <w:rPr>
          <w:i/>
        </w:rPr>
      </w:pPr>
      <w:r w:rsidRPr="00B375AD">
        <w:t>CIA</w:t>
      </w:r>
      <w:r w:rsidR="00B375AD">
        <w:rPr>
          <w:i/>
        </w:rPr>
        <w:t xml:space="preserve">. </w:t>
      </w:r>
      <w:r w:rsidR="00B375AD">
        <w:t xml:space="preserve">(2014). </w:t>
      </w:r>
      <w:proofErr w:type="gramStart"/>
      <w:r w:rsidR="00B375AD" w:rsidRPr="00B375AD">
        <w:rPr>
          <w:i/>
        </w:rPr>
        <w:t>The</w:t>
      </w:r>
      <w:proofErr w:type="gramEnd"/>
      <w:r w:rsidR="00B375AD" w:rsidRPr="00B375AD">
        <w:rPr>
          <w:i/>
        </w:rPr>
        <w:t xml:space="preserve"> World </w:t>
      </w:r>
      <w:proofErr w:type="spellStart"/>
      <w:r w:rsidR="00B375AD" w:rsidRPr="00B375AD">
        <w:rPr>
          <w:i/>
        </w:rPr>
        <w:t>Factbook</w:t>
      </w:r>
      <w:proofErr w:type="spellEnd"/>
      <w:r w:rsidR="00B375AD" w:rsidRPr="00B375AD">
        <w:rPr>
          <w:i/>
        </w:rPr>
        <w:t xml:space="preserve"> – Trinidad and Tobago</w:t>
      </w:r>
      <w:r w:rsidR="00B375AD">
        <w:rPr>
          <w:i/>
        </w:rPr>
        <w:t xml:space="preserve">. </w:t>
      </w:r>
      <w:r w:rsidR="00B375AD">
        <w:t>Retrieved from</w:t>
      </w:r>
      <w:r>
        <w:rPr>
          <w:i/>
        </w:rPr>
        <w:t xml:space="preserve"> </w:t>
      </w:r>
      <w:hyperlink r:id="rId13" w:history="1">
        <w:r>
          <w:rPr>
            <w:rStyle w:val="Hyperlink"/>
          </w:rPr>
          <w:t>https://www.cia.gov/library/publications/the-world-factbook/geos/td.html</w:t>
        </w:r>
      </w:hyperlink>
    </w:p>
    <w:p w14:paraId="1113BB22" w14:textId="7C2CA4D2" w:rsidR="006A2B3A" w:rsidRDefault="002E6176" w:rsidP="006A2B3A">
      <w:pPr>
        <w:pStyle w:val="ListParagraph"/>
        <w:numPr>
          <w:ilvl w:val="0"/>
          <w:numId w:val="1"/>
        </w:numPr>
      </w:pPr>
      <w:r w:rsidRPr="001C0E91">
        <w:rPr>
          <w:b/>
        </w:rPr>
        <w:t>Jamaica:</w:t>
      </w:r>
      <w:r>
        <w:t xml:space="preserve"> Was under Spanish rule from 1509 – 1655, then British rule from 1655 – 1962. Independence was declared in 1962</w:t>
      </w:r>
      <w:r w:rsidR="00BF25CE">
        <w:t xml:space="preserve">. Jamaica was placed in a polytomy with T&amp;T and English_ST 52 years ago for reasons stated above. </w:t>
      </w:r>
    </w:p>
    <w:p w14:paraId="11A8755F" w14:textId="257523EE" w:rsidR="00C62AB0" w:rsidRPr="00586CAF" w:rsidRDefault="00C62AB0" w:rsidP="00586CAF">
      <w:pPr>
        <w:pStyle w:val="ListParagraph"/>
        <w:numPr>
          <w:ilvl w:val="1"/>
          <w:numId w:val="1"/>
        </w:numPr>
        <w:rPr>
          <w:i/>
        </w:rPr>
      </w:pPr>
      <w:r w:rsidRPr="00B375AD">
        <w:t>CIA</w:t>
      </w:r>
      <w:r w:rsidR="00B375AD">
        <w:rPr>
          <w:i/>
        </w:rPr>
        <w:t xml:space="preserve">. </w:t>
      </w:r>
      <w:r w:rsidR="00B375AD">
        <w:t xml:space="preserve">(2014). </w:t>
      </w:r>
      <w:proofErr w:type="gramStart"/>
      <w:r w:rsidR="00B375AD" w:rsidRPr="00B375AD">
        <w:rPr>
          <w:i/>
        </w:rPr>
        <w:t>The</w:t>
      </w:r>
      <w:proofErr w:type="gramEnd"/>
      <w:r w:rsidR="00B375AD" w:rsidRPr="00B375AD">
        <w:rPr>
          <w:i/>
        </w:rPr>
        <w:t xml:space="preserve"> World </w:t>
      </w:r>
      <w:proofErr w:type="spellStart"/>
      <w:r w:rsidR="00B375AD" w:rsidRPr="00B375AD">
        <w:rPr>
          <w:i/>
        </w:rPr>
        <w:t>Factbook</w:t>
      </w:r>
      <w:proofErr w:type="spellEnd"/>
      <w:r w:rsidR="00B375AD" w:rsidRPr="00B375AD">
        <w:rPr>
          <w:i/>
        </w:rPr>
        <w:t xml:space="preserve"> – Jamaica.</w:t>
      </w:r>
      <w:r w:rsidR="00B375AD">
        <w:t xml:space="preserve"> Retrieved from</w:t>
      </w:r>
      <w:r>
        <w:rPr>
          <w:i/>
        </w:rPr>
        <w:t xml:space="preserve"> </w:t>
      </w:r>
      <w:hyperlink r:id="rId14" w:history="1">
        <w:r>
          <w:rPr>
            <w:rStyle w:val="Hyperlink"/>
          </w:rPr>
          <w:t>https://www.cia.gov/library/publications/the-world-factbook/geos/jm.html</w:t>
        </w:r>
      </w:hyperlink>
    </w:p>
    <w:p w14:paraId="13EA81D6" w14:textId="3504F230" w:rsidR="001A2B8C" w:rsidRPr="00D91696" w:rsidRDefault="001A2B8C" w:rsidP="006A2B3A">
      <w:pPr>
        <w:pStyle w:val="ListParagraph"/>
        <w:numPr>
          <w:ilvl w:val="0"/>
          <w:numId w:val="1"/>
        </w:numPr>
      </w:pPr>
      <w:r w:rsidRPr="001C0E91">
        <w:rPr>
          <w:b/>
        </w:rPr>
        <w:t>Ireland:</w:t>
      </w:r>
      <w:r>
        <w:t xml:space="preserve"> </w:t>
      </w:r>
      <w:r w:rsidR="001C0E91">
        <w:rPr>
          <w:i/>
        </w:rPr>
        <w:t>the first Norman-Irish lordship in Ireland (1177)</w:t>
      </w:r>
      <w:r w:rsidR="002A6797">
        <w:rPr>
          <w:i/>
        </w:rPr>
        <w:t xml:space="preserve">. </w:t>
      </w:r>
      <w:r w:rsidR="002A6797">
        <w:t xml:space="preserve">Irish culture begins to diverge from English culture with the Tudor conquest of Ireland in 1530 (483 years ago). </w:t>
      </w:r>
      <w:r w:rsidR="002A6797">
        <w:rPr>
          <w:i/>
        </w:rPr>
        <w:t>I</w:t>
      </w:r>
      <w:r w:rsidR="001C0E91">
        <w:rPr>
          <w:i/>
        </w:rPr>
        <w:t xml:space="preserve">ndependence from the United Kingdom in 1922. </w:t>
      </w:r>
    </w:p>
    <w:p w14:paraId="49D27BC1" w14:textId="7059185B" w:rsidR="00D91696" w:rsidRPr="00D91696" w:rsidRDefault="00D91696" w:rsidP="00D91696">
      <w:pPr>
        <w:pStyle w:val="ListParagraph"/>
        <w:numPr>
          <w:ilvl w:val="1"/>
          <w:numId w:val="1"/>
        </w:numPr>
      </w:pPr>
      <w:r w:rsidRPr="00D91696">
        <w:t xml:space="preserve">Irish Statute Book. (1922). </w:t>
      </w:r>
      <w:r w:rsidRPr="00D91696">
        <w:rPr>
          <w:i/>
        </w:rPr>
        <w:t>Constitution of the Irish Free State (</w:t>
      </w:r>
      <w:proofErr w:type="spellStart"/>
      <w:r>
        <w:rPr>
          <w:i/>
        </w:rPr>
        <w:t>Saorsta</w:t>
      </w:r>
      <w:r w:rsidRPr="00D91696">
        <w:rPr>
          <w:i/>
        </w:rPr>
        <w:t>t</w:t>
      </w:r>
      <w:proofErr w:type="spellEnd"/>
      <w:r w:rsidRPr="00D91696">
        <w:rPr>
          <w:i/>
        </w:rPr>
        <w:t xml:space="preserve"> </w:t>
      </w:r>
      <w:proofErr w:type="spellStart"/>
      <w:r w:rsidRPr="00D91696">
        <w:rPr>
          <w:i/>
        </w:rPr>
        <w:t>Eireann</w:t>
      </w:r>
      <w:proofErr w:type="spellEnd"/>
      <w:r w:rsidRPr="00D91696">
        <w:rPr>
          <w:i/>
        </w:rPr>
        <w:t>) Act</w:t>
      </w:r>
      <w:r w:rsidRPr="00D91696">
        <w:t xml:space="preserve">. Retrieved from </w:t>
      </w:r>
      <w:hyperlink r:id="rId15" w:history="1">
        <w:r w:rsidRPr="00D91696">
          <w:rPr>
            <w:rStyle w:val="Hyperlink"/>
          </w:rPr>
          <w:t>http://www.irishstatutebook.ie/1922/en/act/pub/0001/print.html</w:t>
        </w:r>
      </w:hyperlink>
    </w:p>
    <w:p w14:paraId="6D42B855" w14:textId="77777777" w:rsidR="002E6176" w:rsidRDefault="001C0E91" w:rsidP="001C0E91">
      <w:pPr>
        <w:pStyle w:val="Heading2"/>
      </w:pPr>
      <w:r>
        <w:t>German States</w:t>
      </w:r>
    </w:p>
    <w:p w14:paraId="33A67550" w14:textId="77777777" w:rsidR="001C0E91" w:rsidRDefault="001C0E91" w:rsidP="001C0E91">
      <w:pPr>
        <w:pStyle w:val="ListParagraph"/>
        <w:numPr>
          <w:ilvl w:val="0"/>
          <w:numId w:val="1"/>
        </w:numPr>
      </w:pPr>
      <w:r>
        <w:t xml:space="preserve">For the German states we have created a polytomy </w:t>
      </w:r>
      <w:r w:rsidR="001E263D">
        <w:t>at 1230CE</w:t>
      </w:r>
      <w:r w:rsidR="00BE7D3E">
        <w:t>, the same point at which German splits from Dutch and the other lower saxon varieties.</w:t>
      </w:r>
      <w:r w:rsidR="001E263D">
        <w:t xml:space="preserve"> </w:t>
      </w:r>
    </w:p>
    <w:p w14:paraId="13EF4F36" w14:textId="77777777" w:rsidR="001E263D" w:rsidRDefault="001E263D" w:rsidP="001C0E91">
      <w:pPr>
        <w:pStyle w:val="ListParagraph"/>
        <w:numPr>
          <w:ilvl w:val="0"/>
          <w:numId w:val="1"/>
        </w:numPr>
      </w:pPr>
      <w:r>
        <w:rPr>
          <w:b/>
        </w:rPr>
        <w:t xml:space="preserve">Austria </w:t>
      </w:r>
      <w:r>
        <w:t xml:space="preserve">&amp; </w:t>
      </w:r>
      <w:r>
        <w:rPr>
          <w:b/>
        </w:rPr>
        <w:t>Switzerland</w:t>
      </w:r>
      <w:r>
        <w:t xml:space="preserve"> split to independent branches that run to the present. </w:t>
      </w:r>
    </w:p>
    <w:p w14:paraId="5EBE9997" w14:textId="799BEBD4" w:rsidR="001E263D" w:rsidRDefault="001E263D" w:rsidP="001C0E91">
      <w:pPr>
        <w:pStyle w:val="ListParagraph"/>
        <w:numPr>
          <w:ilvl w:val="0"/>
          <w:numId w:val="1"/>
        </w:numPr>
      </w:pPr>
      <w:r>
        <w:rPr>
          <w:b/>
        </w:rPr>
        <w:t>Baden, Bavaria, Saxony, Prussia</w:t>
      </w:r>
      <w:r>
        <w:t xml:space="preserve"> &amp; </w:t>
      </w:r>
      <w:r>
        <w:rPr>
          <w:b/>
        </w:rPr>
        <w:t xml:space="preserve">Wurttemberg </w:t>
      </w:r>
      <w:r w:rsidR="00BE7D3E">
        <w:t xml:space="preserve">begin to diverge at the same time as Austria and Switzerland, continuing </w:t>
      </w:r>
      <w:r>
        <w:t xml:space="preserve">for around 650 years until 1871, </w:t>
      </w:r>
      <w:r w:rsidR="00BB3A14">
        <w:t xml:space="preserve">at </w:t>
      </w:r>
      <w:r>
        <w:t xml:space="preserve">which </w:t>
      </w:r>
      <w:r w:rsidR="00BE7D3E">
        <w:t xml:space="preserve">time they </w:t>
      </w:r>
      <w:r>
        <w:t xml:space="preserve">join as the kingdom of Germany. </w:t>
      </w:r>
    </w:p>
    <w:p w14:paraId="492AF117" w14:textId="533C5999" w:rsidR="00DB59F1" w:rsidRDefault="00DB59F1" w:rsidP="00DB59F1">
      <w:pPr>
        <w:pStyle w:val="ListParagraph"/>
        <w:numPr>
          <w:ilvl w:val="1"/>
          <w:numId w:val="1"/>
        </w:numPr>
      </w:pPr>
      <w:r>
        <w:t xml:space="preserve">Carr. W. (1991) </w:t>
      </w:r>
      <w:r>
        <w:rPr>
          <w:i/>
        </w:rPr>
        <w:t>History of Germany: 1815 – 19</w:t>
      </w:r>
      <w:r w:rsidRPr="00DB59F1">
        <w:rPr>
          <w:i/>
        </w:rPr>
        <w:t>90</w:t>
      </w:r>
      <w:r w:rsidRPr="00DB59F1">
        <w:t>. London: Routledge, Chapman and Hall distributor</w:t>
      </w:r>
    </w:p>
    <w:p w14:paraId="7F571396" w14:textId="77777777" w:rsidR="001E263D" w:rsidRPr="00586CAF" w:rsidRDefault="001E263D" w:rsidP="001C0E91">
      <w:pPr>
        <w:pStyle w:val="ListParagraph"/>
        <w:numPr>
          <w:ilvl w:val="0"/>
          <w:numId w:val="1"/>
        </w:numPr>
      </w:pPr>
      <w:r>
        <w:rPr>
          <w:b/>
        </w:rPr>
        <w:t xml:space="preserve">Germany </w:t>
      </w:r>
      <w:r>
        <w:t xml:space="preserve">exists for a period of 78 years after the kingdom of Germany is established until the split of the state into </w:t>
      </w:r>
      <w:r>
        <w:rPr>
          <w:b/>
        </w:rPr>
        <w:t>East</w:t>
      </w:r>
      <w:r>
        <w:t xml:space="preserve"> &amp; </w:t>
      </w:r>
      <w:r>
        <w:rPr>
          <w:b/>
        </w:rPr>
        <w:t xml:space="preserve">West Germany. </w:t>
      </w:r>
    </w:p>
    <w:p w14:paraId="35C9B3CF" w14:textId="77777777" w:rsidR="004E54F2" w:rsidRDefault="004E54F2" w:rsidP="004E54F2">
      <w:pPr>
        <w:pStyle w:val="ListParagraph"/>
        <w:numPr>
          <w:ilvl w:val="1"/>
          <w:numId w:val="1"/>
        </w:numPr>
      </w:pPr>
      <w:r>
        <w:t xml:space="preserve">Carr. W. (1991) </w:t>
      </w:r>
      <w:r>
        <w:rPr>
          <w:i/>
        </w:rPr>
        <w:t>History of Germany: 1815 – 19</w:t>
      </w:r>
      <w:r w:rsidRPr="00DB59F1">
        <w:rPr>
          <w:i/>
        </w:rPr>
        <w:t>90</w:t>
      </w:r>
      <w:r w:rsidRPr="00DB59F1">
        <w:t>. London: Routledge, Chapman and Hall distributor</w:t>
      </w:r>
    </w:p>
    <w:p w14:paraId="2E29A8CA" w14:textId="77777777" w:rsidR="001E263D" w:rsidRDefault="001E263D" w:rsidP="001C0E91">
      <w:pPr>
        <w:pStyle w:val="ListParagraph"/>
        <w:numPr>
          <w:ilvl w:val="0"/>
          <w:numId w:val="1"/>
        </w:numPr>
      </w:pPr>
      <w:r>
        <w:rPr>
          <w:b/>
        </w:rPr>
        <w:t xml:space="preserve">East </w:t>
      </w:r>
      <w:r>
        <w:t xml:space="preserve">&amp; </w:t>
      </w:r>
      <w:r>
        <w:rPr>
          <w:b/>
        </w:rPr>
        <w:t>West Germany</w:t>
      </w:r>
      <w:r>
        <w:t xml:space="preserve"> last for 41 years before the re-unification of </w:t>
      </w:r>
      <w:r>
        <w:rPr>
          <w:b/>
        </w:rPr>
        <w:t>Germany</w:t>
      </w:r>
      <w:r>
        <w:t xml:space="preserve"> in 1990. </w:t>
      </w:r>
    </w:p>
    <w:p w14:paraId="1603D8DB" w14:textId="77777777" w:rsidR="004E54F2" w:rsidRDefault="004E54F2" w:rsidP="004E54F2">
      <w:pPr>
        <w:pStyle w:val="ListParagraph"/>
        <w:numPr>
          <w:ilvl w:val="1"/>
          <w:numId w:val="1"/>
        </w:numPr>
      </w:pPr>
      <w:r>
        <w:t xml:space="preserve">Carr. W. (1991) </w:t>
      </w:r>
      <w:r>
        <w:rPr>
          <w:i/>
        </w:rPr>
        <w:t>History of Germany: 1815 – 19</w:t>
      </w:r>
      <w:r w:rsidRPr="00DB59F1">
        <w:rPr>
          <w:i/>
        </w:rPr>
        <w:t>90</w:t>
      </w:r>
      <w:r w:rsidRPr="00DB59F1">
        <w:t>. London: Routledge, Chapman and Hall distributor</w:t>
      </w:r>
    </w:p>
    <w:p w14:paraId="365EBB2B" w14:textId="77777777" w:rsidR="001E263D" w:rsidRPr="001E263D" w:rsidRDefault="001E263D" w:rsidP="001C0E91">
      <w:pPr>
        <w:pStyle w:val="ListParagraph"/>
        <w:numPr>
          <w:ilvl w:val="0"/>
          <w:numId w:val="1"/>
        </w:numPr>
      </w:pPr>
      <w:r>
        <w:rPr>
          <w:b/>
        </w:rPr>
        <w:t xml:space="preserve">Germany </w:t>
      </w:r>
      <w:r>
        <w:t xml:space="preserve">then exists for 23 years, which brings us to the present. </w:t>
      </w:r>
      <w:r>
        <w:rPr>
          <w:b/>
        </w:rPr>
        <w:t xml:space="preserve"> </w:t>
      </w:r>
    </w:p>
    <w:p w14:paraId="6B3F245B" w14:textId="77777777" w:rsidR="001E263D" w:rsidRDefault="001E263D" w:rsidP="001E263D">
      <w:pPr>
        <w:pStyle w:val="Heading2"/>
      </w:pPr>
      <w:r>
        <w:t>Cyprus – Greece</w:t>
      </w:r>
    </w:p>
    <w:p w14:paraId="46CBBA6F" w14:textId="31AE7494" w:rsidR="00BC6C5F" w:rsidRPr="007E5BF6" w:rsidRDefault="00BC6C5F" w:rsidP="00EE66BC">
      <w:pPr>
        <w:pStyle w:val="ListParagraph"/>
        <w:numPr>
          <w:ilvl w:val="0"/>
          <w:numId w:val="1"/>
        </w:numPr>
        <w:rPr>
          <w:i/>
        </w:rPr>
      </w:pPr>
      <w:r w:rsidRPr="007E5BF6">
        <w:rPr>
          <w:rFonts w:eastAsia="Times New Roman" w:cs="Times New Roman"/>
          <w:color w:val="000000"/>
          <w:lang w:eastAsia="en-NZ"/>
        </w:rPr>
        <w:t xml:space="preserve">Cypriot culture </w:t>
      </w:r>
      <w:r w:rsidR="00BB3A14" w:rsidRPr="007E5BF6">
        <w:rPr>
          <w:rFonts w:eastAsia="Times New Roman" w:cs="Times New Roman"/>
          <w:color w:val="000000"/>
          <w:lang w:eastAsia="en-NZ"/>
        </w:rPr>
        <w:t>is</w:t>
      </w:r>
      <w:r w:rsidRPr="007E5BF6">
        <w:rPr>
          <w:rFonts w:eastAsia="Times New Roman" w:cs="Times New Roman"/>
          <w:color w:val="000000"/>
          <w:lang w:eastAsia="en-NZ"/>
        </w:rPr>
        <w:t xml:space="preserve"> thought to </w:t>
      </w:r>
      <w:r w:rsidR="00BB3A14" w:rsidRPr="007E5BF6">
        <w:rPr>
          <w:rFonts w:eastAsia="Times New Roman" w:cs="Times New Roman"/>
          <w:color w:val="000000"/>
          <w:lang w:eastAsia="en-NZ"/>
        </w:rPr>
        <w:t xml:space="preserve">have </w:t>
      </w:r>
      <w:r w:rsidRPr="007E5BF6">
        <w:rPr>
          <w:rFonts w:eastAsia="Times New Roman" w:cs="Times New Roman"/>
          <w:color w:val="000000"/>
          <w:lang w:eastAsia="en-NZ"/>
        </w:rPr>
        <w:t>beg</w:t>
      </w:r>
      <w:r w:rsidR="00BB3A14" w:rsidRPr="007E5BF6">
        <w:rPr>
          <w:rFonts w:eastAsia="Times New Roman" w:cs="Times New Roman"/>
          <w:color w:val="000000"/>
          <w:lang w:eastAsia="en-NZ"/>
        </w:rPr>
        <w:t>u</w:t>
      </w:r>
      <w:r w:rsidRPr="007E5BF6">
        <w:rPr>
          <w:rFonts w:eastAsia="Times New Roman" w:cs="Times New Roman"/>
          <w:color w:val="000000"/>
          <w:lang w:eastAsia="en-NZ"/>
        </w:rPr>
        <w:t xml:space="preserve">n diverging from Greek culture </w:t>
      </w:r>
      <w:r w:rsidR="00BB3A14" w:rsidRPr="007E5BF6">
        <w:rPr>
          <w:rFonts w:eastAsia="Times New Roman" w:cs="Times New Roman"/>
          <w:color w:val="000000"/>
          <w:lang w:eastAsia="en-NZ"/>
        </w:rPr>
        <w:t>after</w:t>
      </w:r>
      <w:r w:rsidRPr="007E5BF6">
        <w:rPr>
          <w:rFonts w:eastAsia="Times New Roman" w:cs="Times New Roman"/>
          <w:color w:val="000000"/>
          <w:lang w:eastAsia="en-NZ"/>
        </w:rPr>
        <w:t xml:space="preserve"> the establishment of the Cypriot state in 1832CE, following </w:t>
      </w:r>
      <w:r w:rsidR="00BC3A64" w:rsidRPr="007E5BF6">
        <w:rPr>
          <w:rFonts w:eastAsia="Times New Roman" w:cs="Times New Roman"/>
          <w:color w:val="000000"/>
          <w:lang w:eastAsia="en-NZ"/>
        </w:rPr>
        <w:t xml:space="preserve">Greek and Cypriot </w:t>
      </w:r>
      <w:r w:rsidRPr="007E5BF6">
        <w:rPr>
          <w:rFonts w:eastAsia="Times New Roman" w:cs="Times New Roman"/>
          <w:color w:val="000000"/>
          <w:lang w:eastAsia="en-NZ"/>
        </w:rPr>
        <w:t xml:space="preserve">separation from the Ottoman </w:t>
      </w:r>
      <w:proofErr w:type="gramStart"/>
      <w:r w:rsidRPr="007E5BF6">
        <w:rPr>
          <w:rFonts w:eastAsia="Times New Roman" w:cs="Times New Roman"/>
          <w:color w:val="000000"/>
          <w:lang w:eastAsia="en-NZ"/>
        </w:rPr>
        <w:t>empire</w:t>
      </w:r>
      <w:proofErr w:type="gramEnd"/>
      <w:r w:rsidR="00BC3A64" w:rsidRPr="007E5BF6">
        <w:rPr>
          <w:rFonts w:eastAsia="Times New Roman" w:cs="Times New Roman"/>
          <w:color w:val="000000"/>
          <w:lang w:eastAsia="en-NZ"/>
        </w:rPr>
        <w:t>. Although the country was annexed by Britain in 1878 until 1960, it was largely uninfluenced by British traditions</w:t>
      </w:r>
      <w:r w:rsidRPr="007E5BF6">
        <w:rPr>
          <w:rFonts w:eastAsia="Times New Roman" w:cs="Times New Roman"/>
          <w:color w:val="000000"/>
          <w:lang w:eastAsia="en-NZ"/>
        </w:rPr>
        <w:t xml:space="preserve">. This lead to binary divergence 181 years ago in our distance matrix. </w:t>
      </w:r>
    </w:p>
    <w:p w14:paraId="5DDCEF97" w14:textId="7B294494" w:rsidR="00BC6C5F" w:rsidRPr="007E5BF6" w:rsidRDefault="00BC3A64" w:rsidP="00BC6C5F">
      <w:pPr>
        <w:pStyle w:val="ListParagraph"/>
        <w:numPr>
          <w:ilvl w:val="1"/>
          <w:numId w:val="1"/>
        </w:numPr>
        <w:rPr>
          <w:i/>
        </w:rPr>
      </w:pPr>
      <w:proofErr w:type="spellStart"/>
      <w:r w:rsidRPr="007E5BF6">
        <w:rPr>
          <w:rFonts w:eastAsia="Times New Roman" w:cs="Times New Roman"/>
          <w:color w:val="000000"/>
          <w:lang w:eastAsia="en-NZ"/>
        </w:rPr>
        <w:t>Mallinson</w:t>
      </w:r>
      <w:proofErr w:type="spellEnd"/>
      <w:r w:rsidRPr="007E5BF6">
        <w:rPr>
          <w:rFonts w:eastAsia="Times New Roman" w:cs="Times New Roman"/>
          <w:color w:val="000000"/>
          <w:lang w:eastAsia="en-NZ"/>
        </w:rPr>
        <w:t xml:space="preserve">, B. (2005). </w:t>
      </w:r>
      <w:r w:rsidRPr="007E5BF6">
        <w:rPr>
          <w:rFonts w:eastAsia="Times New Roman" w:cs="Times New Roman"/>
          <w:i/>
          <w:color w:val="000000"/>
          <w:lang w:eastAsia="en-NZ"/>
        </w:rPr>
        <w:t xml:space="preserve">Cyprus: A modern history. </w:t>
      </w:r>
      <w:r w:rsidRPr="007E5BF6">
        <w:rPr>
          <w:rFonts w:eastAsia="Times New Roman" w:cs="Times New Roman"/>
          <w:color w:val="000000"/>
          <w:lang w:eastAsia="en-NZ"/>
        </w:rPr>
        <w:t xml:space="preserve">London: I.B. </w:t>
      </w:r>
      <w:proofErr w:type="spellStart"/>
      <w:r w:rsidRPr="007E5BF6">
        <w:rPr>
          <w:rFonts w:eastAsia="Times New Roman" w:cs="Times New Roman"/>
          <w:color w:val="000000"/>
          <w:lang w:eastAsia="en-NZ"/>
        </w:rPr>
        <w:t>Tauris</w:t>
      </w:r>
      <w:proofErr w:type="spellEnd"/>
      <w:r w:rsidRPr="007E5BF6">
        <w:rPr>
          <w:rFonts w:eastAsia="Times New Roman" w:cs="Times New Roman"/>
          <w:color w:val="000000"/>
          <w:lang w:eastAsia="en-NZ"/>
        </w:rPr>
        <w:t xml:space="preserve"> </w:t>
      </w:r>
    </w:p>
    <w:p w14:paraId="04299EF2" w14:textId="77777777" w:rsidR="00CB3DD4" w:rsidRDefault="00CB3DD4" w:rsidP="00CB3DD4">
      <w:pPr>
        <w:pStyle w:val="Heading2"/>
      </w:pPr>
      <w:r>
        <w:lastRenderedPageBreak/>
        <w:t xml:space="preserve">Italian States </w:t>
      </w:r>
    </w:p>
    <w:p w14:paraId="4BC35CF1" w14:textId="28AF36B9" w:rsidR="00CB3DD4" w:rsidRDefault="00A735E8" w:rsidP="007E5BF6">
      <w:pPr>
        <w:pStyle w:val="ListParagraph"/>
        <w:numPr>
          <w:ilvl w:val="0"/>
          <w:numId w:val="1"/>
        </w:numPr>
      </w:pPr>
      <w:r>
        <w:t xml:space="preserve">For </w:t>
      </w:r>
      <w:r>
        <w:rPr>
          <w:b/>
        </w:rPr>
        <w:t xml:space="preserve">Modena, Papal States, Parma, Tuscany </w:t>
      </w:r>
      <w:r>
        <w:t>&amp;</w:t>
      </w:r>
      <w:r>
        <w:rPr>
          <w:b/>
        </w:rPr>
        <w:t xml:space="preserve"> the Kingdom of Two Scillies </w:t>
      </w:r>
      <w:r>
        <w:t>we have a polytomy at 960 AD (1053 years ago)</w:t>
      </w:r>
      <w:r w:rsidR="00322F33">
        <w:t>.</w:t>
      </w:r>
      <w:r>
        <w:t xml:space="preserve">  </w:t>
      </w:r>
      <w:r w:rsidR="00322F33">
        <w:t>We use</w:t>
      </w:r>
      <w:r>
        <w:t xml:space="preserve"> </w:t>
      </w:r>
      <w:r w:rsidRPr="007E5BF6">
        <w:t>the “</w:t>
      </w:r>
      <w:proofErr w:type="spellStart"/>
      <w:r w:rsidR="007E5BF6" w:rsidRPr="007E5BF6">
        <w:t>Placiti</w:t>
      </w:r>
      <w:proofErr w:type="spellEnd"/>
      <w:r w:rsidR="007E5BF6" w:rsidRPr="007E5BF6">
        <w:t xml:space="preserve"> </w:t>
      </w:r>
      <w:proofErr w:type="spellStart"/>
      <w:r w:rsidR="007E5BF6" w:rsidRPr="007E5BF6">
        <w:t>Cassinesi</w:t>
      </w:r>
      <w:proofErr w:type="spellEnd"/>
      <w:r w:rsidR="007E5BF6" w:rsidRPr="007E5BF6">
        <w:t>”, a group of four official juridical documents which are the earliest examples</w:t>
      </w:r>
      <w:r w:rsidR="007E5BF6">
        <w:t xml:space="preserve"> of written Italian </w:t>
      </w:r>
      <w:r w:rsidR="00322F33">
        <w:t>(</w:t>
      </w:r>
      <w:r>
        <w:t>960AD</w:t>
      </w:r>
      <w:r w:rsidR="00322F33">
        <w:t>)</w:t>
      </w:r>
      <w:r>
        <w:t xml:space="preserve"> </w:t>
      </w:r>
      <w:r w:rsidR="00322F33">
        <w:t>as an approximate date for the emergence of Italian dialects</w:t>
      </w:r>
      <w:r>
        <w:t xml:space="preserve">. </w:t>
      </w:r>
      <w:r w:rsidR="007E5BF6">
        <w:tab/>
      </w:r>
    </w:p>
    <w:p w14:paraId="46205E69" w14:textId="77777777" w:rsidR="007E5BF6" w:rsidRDefault="007E5BF6" w:rsidP="007E5BF6">
      <w:pPr>
        <w:pStyle w:val="ListParagraph"/>
        <w:numPr>
          <w:ilvl w:val="1"/>
          <w:numId w:val="1"/>
        </w:numPr>
      </w:pPr>
      <w:r w:rsidRPr="007E5BF6">
        <w:rPr>
          <w:shd w:val="clear" w:color="auto" w:fill="FFFFFF"/>
        </w:rPr>
        <w:t>Fisher, J. H. (1986). European chancelleries and the rise of standard written languages.</w:t>
      </w:r>
      <w:r w:rsidRPr="007E5BF6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7E5BF6">
        <w:rPr>
          <w:i/>
          <w:iCs/>
          <w:shd w:val="clear" w:color="auto" w:fill="FFFFFF"/>
        </w:rPr>
        <w:t>Essays in Medieval Studies. Proceedings of the Illinois Medieval Association</w:t>
      </w:r>
      <w:r w:rsidRPr="007E5BF6">
        <w:rPr>
          <w:shd w:val="clear" w:color="auto" w:fill="FFFFFF"/>
        </w:rPr>
        <w:t>,</w:t>
      </w:r>
      <w:r w:rsidRPr="007E5BF6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7E5BF6">
        <w:rPr>
          <w:i/>
          <w:iCs/>
          <w:shd w:val="clear" w:color="auto" w:fill="FFFFFF"/>
        </w:rPr>
        <w:t>3</w:t>
      </w:r>
      <w:r w:rsidRPr="007E5BF6">
        <w:rPr>
          <w:shd w:val="clear" w:color="auto" w:fill="FFFFFF"/>
        </w:rPr>
        <w:t>(1986), 1-25.</w:t>
      </w:r>
      <w:r>
        <w:t xml:space="preserve"> </w:t>
      </w:r>
    </w:p>
    <w:p w14:paraId="58B10A38" w14:textId="62D2AFB2" w:rsidR="007E5BF6" w:rsidRDefault="001F089D" w:rsidP="007E5BF6">
      <w:pPr>
        <w:pStyle w:val="ListParagraph"/>
        <w:numPr>
          <w:ilvl w:val="0"/>
          <w:numId w:val="1"/>
        </w:numPr>
      </w:pPr>
      <w:r>
        <w:t xml:space="preserve">All states are then joined into the kingdom of Italy in 1870. </w:t>
      </w:r>
    </w:p>
    <w:p w14:paraId="47AB196E" w14:textId="43D66FE5" w:rsidR="007E5BF6" w:rsidRPr="007E5BF6" w:rsidRDefault="00B552F6" w:rsidP="00B552F6">
      <w:pPr>
        <w:pStyle w:val="ListParagraph"/>
        <w:numPr>
          <w:ilvl w:val="1"/>
          <w:numId w:val="1"/>
        </w:numPr>
      </w:pPr>
      <w:r w:rsidRPr="00B552F6">
        <w:rPr>
          <w:shd w:val="clear" w:color="auto" w:fill="FFFFFF"/>
        </w:rPr>
        <w:t>Stiles, A. (1989).</w:t>
      </w:r>
      <w:r w:rsidRPr="00B552F6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B552F6">
        <w:rPr>
          <w:i/>
          <w:iCs/>
          <w:shd w:val="clear" w:color="auto" w:fill="FFFFFF"/>
        </w:rPr>
        <w:t>The unification of Italy, 1815-1870</w:t>
      </w:r>
      <w:r w:rsidRPr="00B552F6">
        <w:rPr>
          <w:shd w:val="clear" w:color="auto" w:fill="FFFFFF"/>
        </w:rPr>
        <w:t>. Hodder &amp; Stoughton.</w:t>
      </w:r>
    </w:p>
    <w:p w14:paraId="2C21BD20" w14:textId="77777777" w:rsidR="001E263D" w:rsidRDefault="009D17BC" w:rsidP="009D17BC">
      <w:pPr>
        <w:pStyle w:val="Heading2"/>
      </w:pPr>
      <w:r>
        <w:t>Portuguese – Cape Verde</w:t>
      </w:r>
    </w:p>
    <w:p w14:paraId="4E6AA512" w14:textId="239C18F3" w:rsidR="009D17BC" w:rsidRDefault="009D17BC" w:rsidP="006D3038">
      <w:pPr>
        <w:pStyle w:val="ListParagraph"/>
        <w:numPr>
          <w:ilvl w:val="0"/>
          <w:numId w:val="1"/>
        </w:numPr>
      </w:pPr>
      <w:r>
        <w:t>Cape Verde was a Portuguese colony. The Island off the coast of Africa was primarily used for the slave trade and exile. A vicious civil war resulted in the country’s independence in 197</w:t>
      </w:r>
      <w:r w:rsidR="006D3038">
        <w:t>5</w:t>
      </w:r>
      <w:r>
        <w:t xml:space="preserve">. We have </w:t>
      </w:r>
      <w:r w:rsidR="004676C8">
        <w:t xml:space="preserve">thus </w:t>
      </w:r>
      <w:r w:rsidR="006D3038">
        <w:t>entered a binary split at 38</w:t>
      </w:r>
      <w:r>
        <w:t xml:space="preserve"> years ago.</w:t>
      </w:r>
    </w:p>
    <w:p w14:paraId="344CD729" w14:textId="4FC44671" w:rsidR="006D3038" w:rsidRPr="006D3038" w:rsidRDefault="006D3038" w:rsidP="006D3038">
      <w:pPr>
        <w:pStyle w:val="ListParagraph"/>
        <w:numPr>
          <w:ilvl w:val="1"/>
          <w:numId w:val="1"/>
        </w:numPr>
      </w:pPr>
      <w:r>
        <w:t xml:space="preserve">CIA (2014). </w:t>
      </w:r>
      <w:r>
        <w:rPr>
          <w:i/>
        </w:rPr>
        <w:t xml:space="preserve">The World </w:t>
      </w:r>
      <w:proofErr w:type="spellStart"/>
      <w:r>
        <w:rPr>
          <w:i/>
        </w:rPr>
        <w:t>Factbook</w:t>
      </w:r>
      <w:proofErr w:type="spellEnd"/>
      <w:r>
        <w:rPr>
          <w:i/>
        </w:rPr>
        <w:t xml:space="preserve"> – Cape Verde. </w:t>
      </w:r>
      <w:r>
        <w:t xml:space="preserve">Retrieved from </w:t>
      </w:r>
      <w:r w:rsidRPr="006D3038">
        <w:rPr>
          <w:u w:val="single"/>
        </w:rPr>
        <w:t>https://www.cia.gov/library/publications/the-world-factbook/geos/cv.html</w:t>
      </w:r>
    </w:p>
    <w:p w14:paraId="6C4B7D87" w14:textId="77777777" w:rsidR="009D17BC" w:rsidRDefault="009D17BC" w:rsidP="009D17BC">
      <w:pPr>
        <w:pStyle w:val="Heading2"/>
      </w:pPr>
      <w:r>
        <w:t xml:space="preserve">Romania – Moldova </w:t>
      </w:r>
    </w:p>
    <w:p w14:paraId="5771BF48" w14:textId="1092F8C4" w:rsidR="001F089D" w:rsidRPr="006D3038" w:rsidRDefault="00693051" w:rsidP="006D3038">
      <w:pPr>
        <w:pStyle w:val="ListParagraph"/>
        <w:numPr>
          <w:ilvl w:val="0"/>
          <w:numId w:val="1"/>
        </w:numPr>
        <w:rPr>
          <w:lang w:eastAsia="en-NZ"/>
        </w:rPr>
      </w:pPr>
      <w:r w:rsidRPr="006D3038">
        <w:rPr>
          <w:lang w:eastAsia="en-NZ"/>
        </w:rPr>
        <w:t xml:space="preserve">Divergence from the Romanian culture </w:t>
      </w:r>
      <w:r w:rsidR="00047B1A" w:rsidRPr="006D3038">
        <w:rPr>
          <w:lang w:eastAsia="en-NZ"/>
        </w:rPr>
        <w:t>is taken to begin</w:t>
      </w:r>
      <w:r w:rsidRPr="006D3038">
        <w:rPr>
          <w:lang w:eastAsia="en-NZ"/>
        </w:rPr>
        <w:t xml:space="preserve"> in</w:t>
      </w:r>
      <w:r w:rsidR="00197983" w:rsidRPr="006D3038">
        <w:rPr>
          <w:lang w:eastAsia="en-NZ"/>
        </w:rPr>
        <w:t xml:space="preserve"> approximately </w:t>
      </w:r>
      <w:r w:rsidRPr="006D3038">
        <w:rPr>
          <w:lang w:eastAsia="en-NZ"/>
        </w:rPr>
        <w:t xml:space="preserve">1940 with the establishment of the Moldavian Socialist Republic. We have inserted a binary split into our distance matrix at 73 years ago (1940) to quantify this divergence. </w:t>
      </w:r>
    </w:p>
    <w:p w14:paraId="7B9C6873" w14:textId="21F1BA84" w:rsidR="008522CB" w:rsidRPr="008522CB" w:rsidRDefault="008522CB" w:rsidP="006D3038">
      <w:pPr>
        <w:pStyle w:val="ListParagraph"/>
        <w:numPr>
          <w:ilvl w:val="1"/>
          <w:numId w:val="1"/>
        </w:numPr>
        <w:rPr>
          <w:lang w:eastAsia="en-NZ"/>
        </w:rPr>
      </w:pPr>
      <w:proofErr w:type="spellStart"/>
      <w:r w:rsidRPr="008522CB">
        <w:rPr>
          <w:lang w:eastAsia="en-NZ"/>
        </w:rPr>
        <w:t>Mitrasca</w:t>
      </w:r>
      <w:proofErr w:type="spellEnd"/>
      <w:r w:rsidRPr="008522CB">
        <w:rPr>
          <w:lang w:eastAsia="en-NZ"/>
        </w:rPr>
        <w:t xml:space="preserve">, M. (2002) Moldova: A Romanian Province under Russian rule: Diplomatic history from the archives of the great powers. </w:t>
      </w:r>
      <w:r>
        <w:rPr>
          <w:lang w:eastAsia="en-NZ"/>
        </w:rPr>
        <w:t xml:space="preserve">New York: </w:t>
      </w:r>
      <w:proofErr w:type="spellStart"/>
      <w:r>
        <w:rPr>
          <w:lang w:eastAsia="en-NZ"/>
        </w:rPr>
        <w:t>Algora</w:t>
      </w:r>
      <w:proofErr w:type="spellEnd"/>
      <w:r>
        <w:rPr>
          <w:lang w:eastAsia="en-NZ"/>
        </w:rPr>
        <w:t xml:space="preserve"> Publishing. </w:t>
      </w:r>
    </w:p>
    <w:p w14:paraId="41C421F8" w14:textId="77777777" w:rsidR="00772FF6" w:rsidRDefault="00772FF6" w:rsidP="00772FF6">
      <w:pPr>
        <w:pStyle w:val="Heading2"/>
      </w:pPr>
      <w:r>
        <w:t>Russia – USSR – Kazakhstan</w:t>
      </w:r>
    </w:p>
    <w:p w14:paraId="1C5807C1" w14:textId="528911D7" w:rsidR="00772FF6" w:rsidRDefault="00772FF6" w:rsidP="00772FF6">
      <w:pPr>
        <w:pStyle w:val="ListParagraph"/>
        <w:numPr>
          <w:ilvl w:val="0"/>
          <w:numId w:val="1"/>
        </w:numPr>
      </w:pPr>
      <w:r>
        <w:t xml:space="preserve">The </w:t>
      </w:r>
      <w:r w:rsidRPr="00772FF6">
        <w:rPr>
          <w:b/>
        </w:rPr>
        <w:t>USSR</w:t>
      </w:r>
      <w:r>
        <w:t xml:space="preserve"> was dissolved in 1991</w:t>
      </w:r>
      <w:r w:rsidR="004676C8">
        <w:t>. F</w:t>
      </w:r>
      <w:r>
        <w:t xml:space="preserve">rom this we see the state of </w:t>
      </w:r>
      <w:r w:rsidRPr="00772FF6">
        <w:rPr>
          <w:b/>
        </w:rPr>
        <w:t>Kazakhstan</w:t>
      </w:r>
      <w:r>
        <w:t xml:space="preserve"> established as well as re-instatement of </w:t>
      </w:r>
      <w:r w:rsidRPr="00772FF6">
        <w:rPr>
          <w:b/>
        </w:rPr>
        <w:t>Russia</w:t>
      </w:r>
      <w:r>
        <w:t xml:space="preserve"> </w:t>
      </w:r>
    </w:p>
    <w:p w14:paraId="0DC669BF" w14:textId="62A840CB" w:rsidR="00775360" w:rsidRDefault="00772FF6" w:rsidP="00775360">
      <w:pPr>
        <w:pStyle w:val="ListParagraph"/>
        <w:numPr>
          <w:ilvl w:val="1"/>
          <w:numId w:val="1"/>
        </w:numPr>
      </w:pPr>
      <w:r>
        <w:t xml:space="preserve">We should note that we have data </w:t>
      </w:r>
      <w:r w:rsidR="004676C8">
        <w:t xml:space="preserve">from </w:t>
      </w:r>
      <w:r>
        <w:t xml:space="preserve">Russia that predates the establishment of the USSR (1800 – 1922) </w:t>
      </w:r>
    </w:p>
    <w:p w14:paraId="2E6C1D62" w14:textId="6AB90A22" w:rsidR="004452AB" w:rsidRPr="00EE66BC" w:rsidRDefault="00775360" w:rsidP="001F089D">
      <w:pPr>
        <w:pStyle w:val="ListParagraph"/>
        <w:numPr>
          <w:ilvl w:val="2"/>
          <w:numId w:val="1"/>
        </w:numPr>
        <w:rPr>
          <w:i/>
        </w:rPr>
      </w:pPr>
      <w:r>
        <w:t xml:space="preserve">CIA (2014). </w:t>
      </w:r>
      <w:r>
        <w:rPr>
          <w:i/>
        </w:rPr>
        <w:t xml:space="preserve">The World </w:t>
      </w:r>
      <w:proofErr w:type="spellStart"/>
      <w:r>
        <w:rPr>
          <w:i/>
        </w:rPr>
        <w:t>Factbook</w:t>
      </w:r>
      <w:proofErr w:type="spellEnd"/>
      <w:r>
        <w:rPr>
          <w:i/>
        </w:rPr>
        <w:t xml:space="preserve"> – Russia. </w:t>
      </w:r>
      <w:r>
        <w:t xml:space="preserve">Retrieved from </w:t>
      </w:r>
      <w:hyperlink r:id="rId16" w:history="1">
        <w:r w:rsidR="004452AB">
          <w:rPr>
            <w:rStyle w:val="Hyperlink"/>
          </w:rPr>
          <w:t>https://www.cia.gov/library/publications/the-world-factbook/geos/rs.html</w:t>
        </w:r>
      </w:hyperlink>
    </w:p>
    <w:p w14:paraId="49BD7AB8" w14:textId="38B4AEAC" w:rsidR="00284D34" w:rsidRPr="00EE66BC" w:rsidRDefault="00775360" w:rsidP="00EE66BC">
      <w:pPr>
        <w:pStyle w:val="ListParagraph"/>
        <w:numPr>
          <w:ilvl w:val="2"/>
          <w:numId w:val="1"/>
        </w:numPr>
        <w:rPr>
          <w:i/>
        </w:rPr>
      </w:pPr>
      <w:r>
        <w:t xml:space="preserve">CIA. (2014)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World </w:t>
      </w:r>
      <w:proofErr w:type="spellStart"/>
      <w:r>
        <w:rPr>
          <w:i/>
        </w:rPr>
        <w:t>Factbook</w:t>
      </w:r>
      <w:proofErr w:type="spellEnd"/>
      <w:r>
        <w:rPr>
          <w:i/>
        </w:rPr>
        <w:t xml:space="preserve"> – Kazakhstan. </w:t>
      </w:r>
      <w:r>
        <w:t xml:space="preserve">Retrieved from </w:t>
      </w:r>
      <w:hyperlink r:id="rId17" w:history="1">
        <w:r w:rsidR="004452AB">
          <w:rPr>
            <w:rStyle w:val="Hyperlink"/>
          </w:rPr>
          <w:t>https://www.cia.gov/library/publications/the-world-factbook/geos/kz.html</w:t>
        </w:r>
      </w:hyperlink>
    </w:p>
    <w:p w14:paraId="0519C967" w14:textId="77777777" w:rsidR="00772FF6" w:rsidRDefault="00772FF6" w:rsidP="00772FF6">
      <w:pPr>
        <w:pStyle w:val="Heading2"/>
      </w:pPr>
      <w:r>
        <w:t xml:space="preserve">Serbo-Croatia </w:t>
      </w:r>
    </w:p>
    <w:p w14:paraId="49501EC1" w14:textId="5C6C1666" w:rsidR="00772FF6" w:rsidRDefault="00772FF6" w:rsidP="00772FF6">
      <w:pPr>
        <w:pStyle w:val="ListParagraph"/>
        <w:numPr>
          <w:ilvl w:val="0"/>
          <w:numId w:val="1"/>
        </w:numPr>
      </w:pPr>
      <w:r>
        <w:t xml:space="preserve">The Serbo-Croatian region is an area of </w:t>
      </w:r>
      <w:r w:rsidR="009A44A7">
        <w:t>repeated social and linguistic divergence and recombination</w:t>
      </w:r>
      <w:r w:rsidR="00AE6D59">
        <w:t>,</w:t>
      </w:r>
      <w:r w:rsidR="009A44A7">
        <w:t xml:space="preserve"> making it difficult to represent as a set of pairwise differences.</w:t>
      </w:r>
    </w:p>
    <w:p w14:paraId="21B89DA5" w14:textId="1A070564" w:rsidR="00772FF6" w:rsidRDefault="00772FF6" w:rsidP="00772FF6">
      <w:pPr>
        <w:pStyle w:val="ListParagraph"/>
        <w:numPr>
          <w:ilvl w:val="0"/>
          <w:numId w:val="1"/>
        </w:numPr>
      </w:pPr>
      <w:r>
        <w:t>The state of Yugoslavia is also a problem; therefore we ref</w:t>
      </w:r>
      <w:r w:rsidR="008522CB">
        <w:t>er you to the image below for a visual</w:t>
      </w:r>
      <w:r>
        <w:t xml:space="preserve"> explanation. </w:t>
      </w:r>
    </w:p>
    <w:p w14:paraId="42847A04" w14:textId="6062A411" w:rsidR="00772FF6" w:rsidRDefault="00772FF6" w:rsidP="00772FF6">
      <w:pPr>
        <w:pStyle w:val="ListParagraph"/>
        <w:numPr>
          <w:ilvl w:val="0"/>
          <w:numId w:val="1"/>
        </w:numPr>
      </w:pPr>
      <w:r>
        <w:t xml:space="preserve">We inserted a split at the year 1400 for </w:t>
      </w:r>
      <w:r>
        <w:rPr>
          <w:b/>
        </w:rPr>
        <w:t xml:space="preserve">Serbia, Montenegro, Bosnia &amp; Croatia. </w:t>
      </w:r>
      <w:r>
        <w:t xml:space="preserve">There is evidence </w:t>
      </w:r>
      <w:r w:rsidR="004676C8">
        <w:t xml:space="preserve">that </w:t>
      </w:r>
      <w:r>
        <w:t xml:space="preserve">the respective languages of these countries began to diverge around this time from numerous written legal and religious texts. </w:t>
      </w:r>
    </w:p>
    <w:p w14:paraId="1D3B2F28" w14:textId="3124CFED" w:rsidR="00EE5F06" w:rsidRDefault="00EE5F06" w:rsidP="00EE5F06">
      <w:pPr>
        <w:pStyle w:val="ListParagraph"/>
        <w:numPr>
          <w:ilvl w:val="1"/>
          <w:numId w:val="1"/>
        </w:numPr>
      </w:pPr>
      <w:proofErr w:type="spellStart"/>
      <w:r w:rsidRPr="00EE5F06">
        <w:rPr>
          <w:shd w:val="clear" w:color="auto" w:fill="FFFFFF"/>
        </w:rPr>
        <w:t>Petrovic</w:t>
      </w:r>
      <w:proofErr w:type="spellEnd"/>
      <w:r w:rsidRPr="00EE5F06">
        <w:rPr>
          <w:shd w:val="clear" w:color="auto" w:fill="FFFFFF"/>
        </w:rPr>
        <w:t>, S. (2008). Oral and Written Art Forms in Serbian Medieval Literature.</w:t>
      </w:r>
      <w:r>
        <w:rPr>
          <w:shd w:val="clear" w:color="auto" w:fill="FFFFFF"/>
        </w:rPr>
        <w:t xml:space="preserve"> </w:t>
      </w:r>
      <w:r w:rsidRPr="00EE5F06">
        <w:rPr>
          <w:i/>
          <w:iCs/>
          <w:shd w:val="clear" w:color="auto" w:fill="FFFFFF"/>
        </w:rPr>
        <w:t xml:space="preserve">Oral Art Forms and Their Passage </w:t>
      </w:r>
      <w:proofErr w:type="gramStart"/>
      <w:r w:rsidRPr="00EE5F06">
        <w:rPr>
          <w:i/>
          <w:iCs/>
          <w:shd w:val="clear" w:color="auto" w:fill="FFFFFF"/>
        </w:rPr>
        <w:t>Into</w:t>
      </w:r>
      <w:proofErr w:type="gramEnd"/>
      <w:r w:rsidRPr="00EE5F06">
        <w:rPr>
          <w:i/>
          <w:iCs/>
          <w:shd w:val="clear" w:color="auto" w:fill="FFFFFF"/>
        </w:rPr>
        <w:t xml:space="preserve"> Writing</w:t>
      </w:r>
      <w:r w:rsidRPr="00EE5F06">
        <w:rPr>
          <w:shd w:val="clear" w:color="auto" w:fill="FFFFFF"/>
        </w:rPr>
        <w:t>, 85.</w:t>
      </w:r>
    </w:p>
    <w:p w14:paraId="5BC72D7F" w14:textId="77777777" w:rsidR="00772FF6" w:rsidRDefault="00772FF6" w:rsidP="00772FF6">
      <w:pPr>
        <w:pStyle w:val="ListParagraph"/>
        <w:numPr>
          <w:ilvl w:val="0"/>
          <w:numId w:val="1"/>
        </w:numPr>
      </w:pPr>
      <w:r>
        <w:lastRenderedPageBreak/>
        <w:t xml:space="preserve">Around 1990 we see the development of </w:t>
      </w:r>
      <w:r>
        <w:rPr>
          <w:b/>
        </w:rPr>
        <w:t>Montenegrin</w:t>
      </w:r>
      <w:r>
        <w:t xml:space="preserve">, a language very similar to Serbian, but culturally distinct. </w:t>
      </w:r>
    </w:p>
    <w:p w14:paraId="508C18F4" w14:textId="40D9C5AD" w:rsidR="00682ABB" w:rsidRDefault="00682ABB" w:rsidP="00682ABB">
      <w:pPr>
        <w:pStyle w:val="ListParagraph"/>
        <w:numPr>
          <w:ilvl w:val="1"/>
          <w:numId w:val="1"/>
        </w:numPr>
      </w:pPr>
      <w:r>
        <w:t>Morri</w:t>
      </w:r>
      <w:bookmarkStart w:id="0" w:name="_GoBack"/>
      <w:bookmarkEnd w:id="0"/>
      <w:r>
        <w:t xml:space="preserve">son. K. (2009). </w:t>
      </w:r>
      <w:r>
        <w:rPr>
          <w:i/>
        </w:rPr>
        <w:t xml:space="preserve">Montenegro: A Modern history. </w:t>
      </w:r>
      <w:r>
        <w:t xml:space="preserve">London: I.B. </w:t>
      </w:r>
      <w:proofErr w:type="spellStart"/>
      <w:r>
        <w:t>Tauris</w:t>
      </w:r>
      <w:proofErr w:type="spellEnd"/>
    </w:p>
    <w:p w14:paraId="18F950B7" w14:textId="77777777" w:rsidR="00FA424B" w:rsidRPr="00FA424B" w:rsidRDefault="00FA424B" w:rsidP="00FA424B">
      <w:pPr>
        <w:pStyle w:val="ListParagraph"/>
        <w:numPr>
          <w:ilvl w:val="0"/>
          <w:numId w:val="1"/>
        </w:numPr>
        <w:rPr>
          <w:i/>
        </w:rPr>
      </w:pPr>
      <w:r>
        <w:t xml:space="preserve">In 2002 we see the dissolution of </w:t>
      </w:r>
      <w:r w:rsidRPr="00FA424B">
        <w:rPr>
          <w:b/>
        </w:rPr>
        <w:t>Yugoslavia</w:t>
      </w:r>
      <w:r>
        <w:t xml:space="preserve"> into the states of Bosnia, Croatia, Macedonia, Slovenia and Serbia &amp; Montenegro. Bulgaria was never apart of Yugoslavia and therefore the cultural distance between Bulgaria and the remaining </w:t>
      </w:r>
      <w:proofErr w:type="spellStart"/>
      <w:r>
        <w:t>Serbo-Croation</w:t>
      </w:r>
      <w:proofErr w:type="spellEnd"/>
      <w:r>
        <w:t xml:space="preserve"> cultures is larger than the distance between each of the remaining </w:t>
      </w:r>
      <w:proofErr w:type="spellStart"/>
      <w:r>
        <w:t>Serbo-Croation</w:t>
      </w:r>
      <w:proofErr w:type="spellEnd"/>
      <w:r>
        <w:t xml:space="preserve"> cultures.</w:t>
      </w:r>
    </w:p>
    <w:p w14:paraId="1A074A35" w14:textId="2F9A4756" w:rsidR="00225413" w:rsidRPr="00CD32A9" w:rsidRDefault="00775360" w:rsidP="00FA424B">
      <w:pPr>
        <w:pStyle w:val="ListParagraph"/>
        <w:numPr>
          <w:ilvl w:val="1"/>
          <w:numId w:val="1"/>
        </w:numPr>
        <w:rPr>
          <w:i/>
        </w:rPr>
      </w:pPr>
      <w:r>
        <w:t xml:space="preserve">CIA. (2003) </w:t>
      </w:r>
      <w:proofErr w:type="gramStart"/>
      <w:r w:rsidRPr="00775360">
        <w:rPr>
          <w:i/>
        </w:rPr>
        <w:t>The</w:t>
      </w:r>
      <w:proofErr w:type="gramEnd"/>
      <w:r w:rsidRPr="00775360">
        <w:rPr>
          <w:i/>
        </w:rPr>
        <w:t xml:space="preserve"> World</w:t>
      </w:r>
      <w:r w:rsidR="00CD32A9" w:rsidRPr="00775360">
        <w:rPr>
          <w:i/>
        </w:rPr>
        <w:t xml:space="preserve"> </w:t>
      </w:r>
      <w:proofErr w:type="spellStart"/>
      <w:r w:rsidR="00CD32A9" w:rsidRPr="00775360">
        <w:rPr>
          <w:i/>
        </w:rPr>
        <w:t>Factbook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Yuogslavia</w:t>
      </w:r>
      <w:proofErr w:type="spellEnd"/>
      <w:r>
        <w:rPr>
          <w:i/>
        </w:rPr>
        <w:t xml:space="preserve">. </w:t>
      </w:r>
      <w:r>
        <w:t xml:space="preserve">Retrieved from </w:t>
      </w:r>
      <w:hyperlink r:id="rId18" w:history="1">
        <w:r w:rsidR="00CD32A9" w:rsidRPr="00775360">
          <w:rPr>
            <w:rStyle w:val="Hyperlink"/>
          </w:rPr>
          <w:t>http://www.umsl.edu/services/govdocs/wofact2001/geos/sr.html</w:t>
        </w:r>
      </w:hyperlink>
    </w:p>
    <w:p w14:paraId="24B69412" w14:textId="77777777" w:rsidR="00284D34" w:rsidRPr="00CD32A9" w:rsidRDefault="00284D34" w:rsidP="00772FF6">
      <w:pPr>
        <w:pStyle w:val="ListParagraph"/>
        <w:numPr>
          <w:ilvl w:val="0"/>
          <w:numId w:val="1"/>
        </w:numPr>
      </w:pPr>
      <w:r>
        <w:rPr>
          <w:b/>
        </w:rPr>
        <w:t xml:space="preserve">Serbia &amp; </w:t>
      </w:r>
      <w:proofErr w:type="gramStart"/>
      <w:r>
        <w:rPr>
          <w:b/>
        </w:rPr>
        <w:t xml:space="preserve">Montenegro </w:t>
      </w:r>
      <w:r>
        <w:t xml:space="preserve"> then</w:t>
      </w:r>
      <w:proofErr w:type="gramEnd"/>
      <w:r>
        <w:t xml:space="preserve"> split in 2006 to form the independent states </w:t>
      </w:r>
      <w:r>
        <w:rPr>
          <w:b/>
        </w:rPr>
        <w:t xml:space="preserve">Serbia </w:t>
      </w:r>
      <w:r>
        <w:t xml:space="preserve">and </w:t>
      </w:r>
      <w:r>
        <w:rPr>
          <w:b/>
        </w:rPr>
        <w:t xml:space="preserve">Montenegro. </w:t>
      </w:r>
    </w:p>
    <w:p w14:paraId="0B5B2E97" w14:textId="7BD2D118" w:rsidR="00CD32A9" w:rsidRPr="00CD32A9" w:rsidRDefault="00775360" w:rsidP="00CD32A9">
      <w:pPr>
        <w:pStyle w:val="ListParagraph"/>
        <w:numPr>
          <w:ilvl w:val="1"/>
          <w:numId w:val="1"/>
        </w:numPr>
        <w:rPr>
          <w:i/>
        </w:rPr>
      </w:pPr>
      <w:r>
        <w:t xml:space="preserve">CIA. (2003) </w:t>
      </w:r>
      <w:proofErr w:type="gramStart"/>
      <w:r w:rsidRPr="00775360">
        <w:rPr>
          <w:i/>
        </w:rPr>
        <w:t>The</w:t>
      </w:r>
      <w:proofErr w:type="gramEnd"/>
      <w:r w:rsidRPr="00775360">
        <w:rPr>
          <w:i/>
        </w:rPr>
        <w:t xml:space="preserve"> World </w:t>
      </w:r>
      <w:proofErr w:type="spellStart"/>
      <w:r w:rsidRPr="00775360">
        <w:rPr>
          <w:i/>
        </w:rPr>
        <w:t>Fact</w:t>
      </w:r>
      <w:r w:rsidR="00CD32A9" w:rsidRPr="00775360">
        <w:rPr>
          <w:i/>
        </w:rPr>
        <w:t>book</w:t>
      </w:r>
      <w:proofErr w:type="spellEnd"/>
      <w:r>
        <w:rPr>
          <w:i/>
        </w:rPr>
        <w:t xml:space="preserve"> – Serbia and Montenegro. </w:t>
      </w:r>
      <w:r>
        <w:t>Retrieved from</w:t>
      </w:r>
      <w:r w:rsidR="00CD32A9" w:rsidRPr="00CD32A9">
        <w:rPr>
          <w:i/>
        </w:rPr>
        <w:t xml:space="preserve"> </w:t>
      </w:r>
      <w:hyperlink r:id="rId19" w:history="1">
        <w:r w:rsidRPr="00775360">
          <w:rPr>
            <w:rStyle w:val="Hyperlink"/>
          </w:rPr>
          <w:t>http://www.umsl.edu/services/govdocs/wofact2003/geos/yi.html</w:t>
        </w:r>
      </w:hyperlink>
    </w:p>
    <w:p w14:paraId="4230B958" w14:textId="4D565AE2" w:rsidR="00772FF6" w:rsidRDefault="00284D34" w:rsidP="00DB283A">
      <w:pPr>
        <w:pStyle w:val="ListParagraph"/>
        <w:numPr>
          <w:ilvl w:val="0"/>
          <w:numId w:val="1"/>
        </w:numPr>
      </w:pPr>
      <w:r>
        <w:rPr>
          <w:b/>
        </w:rPr>
        <w:t>Bulgarian / Bulgaria,</w:t>
      </w:r>
      <w:r>
        <w:t xml:space="preserve"> although linguistically close to Macedonian, never joined Yugoslavia. Thus we see the skip over the Yugoslav line. </w:t>
      </w:r>
    </w:p>
    <w:p w14:paraId="62434A0C" w14:textId="77777777" w:rsidR="00284D34" w:rsidRDefault="00284D34" w:rsidP="00284D34">
      <w:pPr>
        <w:pStyle w:val="Heading2"/>
      </w:pPr>
      <w:r>
        <w:t xml:space="preserve">South America </w:t>
      </w:r>
    </w:p>
    <w:p w14:paraId="4A7C8979" w14:textId="4703F17A" w:rsidR="00284D34" w:rsidRDefault="00F617F8" w:rsidP="00284D34">
      <w:pPr>
        <w:pStyle w:val="ListParagraph"/>
        <w:numPr>
          <w:ilvl w:val="0"/>
          <w:numId w:val="1"/>
        </w:numPr>
      </w:pPr>
      <w:r>
        <w:t>Between 1811</w:t>
      </w:r>
      <w:r w:rsidR="00284D34">
        <w:t xml:space="preserve"> and 1825, Spanish dominance in South America began to rapidly decline, with the independence of the</w:t>
      </w:r>
      <w:r w:rsidR="00E52810">
        <w:t xml:space="preserve"> countires</w:t>
      </w:r>
      <w:r w:rsidR="00AE6D59">
        <w:t xml:space="preserve"> listed</w:t>
      </w:r>
      <w:r w:rsidR="00E52810">
        <w:t xml:space="preserve"> below With </w:t>
      </w:r>
      <w:r w:rsidR="00AE6D59">
        <w:t xml:space="preserve">differences in </w:t>
      </w:r>
      <w:r w:rsidR="00E52810">
        <w:t xml:space="preserve">the time of divergence from Spanish being negligible between these states, we absorbed them all into a single polytomy 195 years ago (1818) </w:t>
      </w:r>
    </w:p>
    <w:p w14:paraId="26B2BC01" w14:textId="7439F3CB" w:rsidR="00284D34" w:rsidRPr="00284D34" w:rsidRDefault="00284D34" w:rsidP="00284D34">
      <w:pPr>
        <w:pStyle w:val="ListParagraph"/>
        <w:numPr>
          <w:ilvl w:val="1"/>
          <w:numId w:val="1"/>
        </w:numPr>
      </w:pPr>
      <w:r>
        <w:rPr>
          <w:b/>
        </w:rPr>
        <w:t>Argentina</w:t>
      </w:r>
      <w:r w:rsidR="00F617F8">
        <w:rPr>
          <w:b/>
        </w:rPr>
        <w:t xml:space="preserve"> (1818)</w:t>
      </w:r>
    </w:p>
    <w:p w14:paraId="31E32C0F" w14:textId="6E4A98A5" w:rsidR="00284D34" w:rsidRPr="00284D34" w:rsidRDefault="00284D34" w:rsidP="00284D34">
      <w:pPr>
        <w:pStyle w:val="ListParagraph"/>
        <w:numPr>
          <w:ilvl w:val="1"/>
          <w:numId w:val="1"/>
        </w:numPr>
      </w:pPr>
      <w:r>
        <w:rPr>
          <w:b/>
        </w:rPr>
        <w:t xml:space="preserve">Bolivia </w:t>
      </w:r>
      <w:r w:rsidR="00F617F8">
        <w:rPr>
          <w:b/>
        </w:rPr>
        <w:t>(1825)</w:t>
      </w:r>
    </w:p>
    <w:p w14:paraId="731E100A" w14:textId="245A451F" w:rsidR="00284D34" w:rsidRPr="00284D34" w:rsidRDefault="00284D34" w:rsidP="00284D34">
      <w:pPr>
        <w:pStyle w:val="ListParagraph"/>
        <w:numPr>
          <w:ilvl w:val="1"/>
          <w:numId w:val="1"/>
        </w:numPr>
      </w:pPr>
      <w:r>
        <w:rPr>
          <w:b/>
        </w:rPr>
        <w:t>Chile</w:t>
      </w:r>
      <w:r w:rsidR="00F617F8">
        <w:rPr>
          <w:b/>
        </w:rPr>
        <w:t xml:space="preserve"> (1818)</w:t>
      </w:r>
    </w:p>
    <w:p w14:paraId="635A529B" w14:textId="24258FF7" w:rsidR="00284D34" w:rsidRPr="00284D34" w:rsidRDefault="00284D34" w:rsidP="00284D34">
      <w:pPr>
        <w:pStyle w:val="ListParagraph"/>
        <w:numPr>
          <w:ilvl w:val="1"/>
          <w:numId w:val="1"/>
        </w:numPr>
      </w:pPr>
      <w:r>
        <w:rPr>
          <w:b/>
        </w:rPr>
        <w:t>Gran Colombia</w:t>
      </w:r>
      <w:r w:rsidR="00886468">
        <w:rPr>
          <w:b/>
        </w:rPr>
        <w:t xml:space="preserve"> (1819)</w:t>
      </w:r>
    </w:p>
    <w:p w14:paraId="1B1FF1A2" w14:textId="361A7B0C" w:rsidR="00284D34" w:rsidRPr="00284D34" w:rsidRDefault="00284D34" w:rsidP="00284D34">
      <w:pPr>
        <w:pStyle w:val="ListParagraph"/>
        <w:numPr>
          <w:ilvl w:val="1"/>
          <w:numId w:val="1"/>
        </w:numPr>
      </w:pPr>
      <w:r>
        <w:rPr>
          <w:b/>
        </w:rPr>
        <w:t>Mexico</w:t>
      </w:r>
      <w:r w:rsidR="00F617F8">
        <w:rPr>
          <w:b/>
        </w:rPr>
        <w:t xml:space="preserve">  (1821)</w:t>
      </w:r>
    </w:p>
    <w:p w14:paraId="338587DA" w14:textId="672EA802" w:rsidR="00284D34" w:rsidRPr="00284D34" w:rsidRDefault="00284D34" w:rsidP="00284D34">
      <w:pPr>
        <w:pStyle w:val="ListParagraph"/>
        <w:numPr>
          <w:ilvl w:val="1"/>
          <w:numId w:val="1"/>
        </w:numPr>
      </w:pPr>
      <w:r>
        <w:rPr>
          <w:b/>
        </w:rPr>
        <w:t>Paraguay</w:t>
      </w:r>
      <w:r w:rsidR="00F617F8">
        <w:rPr>
          <w:b/>
        </w:rPr>
        <w:t xml:space="preserve"> (1811)</w:t>
      </w:r>
    </w:p>
    <w:p w14:paraId="24B99249" w14:textId="03F05322" w:rsidR="00284D34" w:rsidRPr="00284D34" w:rsidRDefault="00284D34" w:rsidP="00284D34">
      <w:pPr>
        <w:pStyle w:val="ListParagraph"/>
        <w:numPr>
          <w:ilvl w:val="1"/>
          <w:numId w:val="1"/>
        </w:numPr>
      </w:pPr>
      <w:r>
        <w:rPr>
          <w:b/>
        </w:rPr>
        <w:t>Peru</w:t>
      </w:r>
      <w:r w:rsidR="00F617F8">
        <w:rPr>
          <w:b/>
        </w:rPr>
        <w:t xml:space="preserve"> (1821)</w:t>
      </w:r>
    </w:p>
    <w:p w14:paraId="7E2DB70F" w14:textId="1100AFC9" w:rsidR="00284D34" w:rsidRPr="00284D34" w:rsidRDefault="00284D34" w:rsidP="00284D34">
      <w:pPr>
        <w:pStyle w:val="ListParagraph"/>
        <w:numPr>
          <w:ilvl w:val="1"/>
          <w:numId w:val="1"/>
        </w:numPr>
      </w:pPr>
      <w:r>
        <w:rPr>
          <w:b/>
        </w:rPr>
        <w:t xml:space="preserve">United Provinces of Central America </w:t>
      </w:r>
      <w:r w:rsidR="00F617F8">
        <w:rPr>
          <w:b/>
        </w:rPr>
        <w:t>(1821)</w:t>
      </w:r>
    </w:p>
    <w:p w14:paraId="3AD4B1A9" w14:textId="5F671796" w:rsidR="00284D34" w:rsidRPr="008D0DD1" w:rsidRDefault="00284D34" w:rsidP="00284D34">
      <w:pPr>
        <w:pStyle w:val="ListParagraph"/>
        <w:numPr>
          <w:ilvl w:val="1"/>
          <w:numId w:val="1"/>
        </w:numPr>
      </w:pPr>
      <w:r>
        <w:rPr>
          <w:b/>
        </w:rPr>
        <w:t xml:space="preserve">Uruguay </w:t>
      </w:r>
      <w:r w:rsidR="00F617F8">
        <w:rPr>
          <w:b/>
        </w:rPr>
        <w:t>(1811 – 1830)</w:t>
      </w:r>
    </w:p>
    <w:p w14:paraId="4A544F17" w14:textId="4890BF96" w:rsidR="00886468" w:rsidRDefault="00886468" w:rsidP="00886468">
      <w:pPr>
        <w:pStyle w:val="ListParagraph"/>
        <w:numPr>
          <w:ilvl w:val="2"/>
          <w:numId w:val="1"/>
        </w:numPr>
      </w:pPr>
      <w:proofErr w:type="spellStart"/>
      <w:r>
        <w:t>Scheina</w:t>
      </w:r>
      <w:proofErr w:type="spellEnd"/>
      <w:r>
        <w:t xml:space="preserve">, R. L. (2003). </w:t>
      </w:r>
      <w:r>
        <w:rPr>
          <w:i/>
        </w:rPr>
        <w:t>Latin America’s Wars</w:t>
      </w:r>
      <w:r w:rsidR="00F617F8">
        <w:rPr>
          <w:i/>
        </w:rPr>
        <w:t>: The Age of the Caudillo, 1791 - 1899</w:t>
      </w:r>
      <w:r>
        <w:rPr>
          <w:i/>
        </w:rPr>
        <w:t xml:space="preserve"> – Volume 1. </w:t>
      </w:r>
      <w:r>
        <w:t xml:space="preserve"> Washington D.C.: </w:t>
      </w:r>
      <w:proofErr w:type="spellStart"/>
      <w:r>
        <w:t>Brassey’s</w:t>
      </w:r>
      <w:proofErr w:type="spellEnd"/>
      <w:r>
        <w:t xml:space="preserve"> Inc. </w:t>
      </w:r>
    </w:p>
    <w:p w14:paraId="0CB079F0" w14:textId="6884BF0C" w:rsidR="008D0DD1" w:rsidRPr="006227AE" w:rsidRDefault="006227AE" w:rsidP="00886468">
      <w:pPr>
        <w:pStyle w:val="ListParagraph"/>
        <w:numPr>
          <w:ilvl w:val="2"/>
          <w:numId w:val="1"/>
        </w:numPr>
      </w:pPr>
      <w:r>
        <w:t xml:space="preserve">Timeline of the Spanish American Wars of independence. (2011). </w:t>
      </w:r>
      <w:r w:rsidRPr="00886468">
        <w:rPr>
          <w:i/>
        </w:rPr>
        <w:t xml:space="preserve">In Wikipedia. </w:t>
      </w:r>
      <w:r w:rsidRPr="006227AE">
        <w:t xml:space="preserve">Retrieved from </w:t>
      </w:r>
      <w:hyperlink r:id="rId20" w:history="1">
        <w:r w:rsidR="008D0DD1" w:rsidRPr="006227AE">
          <w:rPr>
            <w:rStyle w:val="Hyperlink"/>
          </w:rPr>
          <w:t>http://en.wikipedia.org/wiki/Timeline_of_the_Spanish_American_wars_of_independence</w:t>
        </w:r>
      </w:hyperlink>
    </w:p>
    <w:p w14:paraId="6942A1FC" w14:textId="0C2D5C32" w:rsidR="00284D34" w:rsidRDefault="00284D34" w:rsidP="00284D34">
      <w:pPr>
        <w:pStyle w:val="ListParagraph"/>
        <w:numPr>
          <w:ilvl w:val="0"/>
          <w:numId w:val="1"/>
        </w:numPr>
      </w:pPr>
      <w:r>
        <w:t xml:space="preserve">We then see some of the </w:t>
      </w:r>
      <w:proofErr w:type="gramStart"/>
      <w:r>
        <w:t>united states</w:t>
      </w:r>
      <w:proofErr w:type="gramEnd"/>
      <w:r>
        <w:t xml:space="preserve"> begin to dissolve into </w:t>
      </w:r>
      <w:r w:rsidR="006227AE">
        <w:t>independent countries</w:t>
      </w:r>
      <w:r>
        <w:t xml:space="preserve">. </w:t>
      </w:r>
    </w:p>
    <w:p w14:paraId="3C4D2A6C" w14:textId="2EBE4448" w:rsidR="00284D34" w:rsidRDefault="00284D34" w:rsidP="00284D34">
      <w:pPr>
        <w:pStyle w:val="ListParagraph"/>
        <w:numPr>
          <w:ilvl w:val="1"/>
          <w:numId w:val="1"/>
        </w:numPr>
      </w:pPr>
      <w:r>
        <w:t xml:space="preserve">Gran Colombia was first in 1831 </w:t>
      </w:r>
      <w:r w:rsidR="00E52810">
        <w:t xml:space="preserve">dissolving </w:t>
      </w:r>
      <w:r>
        <w:t>int</w:t>
      </w:r>
      <w:r w:rsidR="0061190A">
        <w:t>o</w:t>
      </w:r>
      <w:r w:rsidR="00E52810">
        <w:t>:</w:t>
      </w:r>
    </w:p>
    <w:p w14:paraId="77613DF5" w14:textId="77777777" w:rsidR="00284D34" w:rsidRPr="00284D34" w:rsidRDefault="00284D34" w:rsidP="00284D34">
      <w:pPr>
        <w:pStyle w:val="ListParagraph"/>
        <w:numPr>
          <w:ilvl w:val="2"/>
          <w:numId w:val="1"/>
        </w:numPr>
      </w:pPr>
      <w:r>
        <w:rPr>
          <w:b/>
        </w:rPr>
        <w:t>Colombia</w:t>
      </w:r>
    </w:p>
    <w:p w14:paraId="6892E034" w14:textId="77777777" w:rsidR="00284D34" w:rsidRPr="00284D34" w:rsidRDefault="00284D34" w:rsidP="00284D34">
      <w:pPr>
        <w:pStyle w:val="ListParagraph"/>
        <w:numPr>
          <w:ilvl w:val="2"/>
          <w:numId w:val="1"/>
        </w:numPr>
      </w:pPr>
      <w:r>
        <w:rPr>
          <w:b/>
        </w:rPr>
        <w:t>Ecuador</w:t>
      </w:r>
    </w:p>
    <w:p w14:paraId="65B02300" w14:textId="77777777" w:rsidR="00284D34" w:rsidRPr="00284D34" w:rsidRDefault="00284D34" w:rsidP="00284D34">
      <w:pPr>
        <w:pStyle w:val="ListParagraph"/>
        <w:numPr>
          <w:ilvl w:val="2"/>
          <w:numId w:val="1"/>
        </w:numPr>
      </w:pPr>
      <w:r>
        <w:rPr>
          <w:b/>
        </w:rPr>
        <w:t>Panama</w:t>
      </w:r>
    </w:p>
    <w:p w14:paraId="313B975C" w14:textId="77777777" w:rsidR="00284D34" w:rsidRPr="00EE66BC" w:rsidRDefault="00284D34" w:rsidP="00284D34">
      <w:pPr>
        <w:pStyle w:val="ListParagraph"/>
        <w:numPr>
          <w:ilvl w:val="2"/>
          <w:numId w:val="1"/>
        </w:numPr>
      </w:pPr>
      <w:r>
        <w:rPr>
          <w:b/>
        </w:rPr>
        <w:t xml:space="preserve">Venezuela </w:t>
      </w:r>
    </w:p>
    <w:p w14:paraId="5EBBFA60" w14:textId="3317BADD" w:rsidR="00E52810" w:rsidRPr="00ED496B" w:rsidRDefault="00E52810" w:rsidP="00EE66BC">
      <w:pPr>
        <w:pStyle w:val="ListParagraph"/>
        <w:numPr>
          <w:ilvl w:val="1"/>
          <w:numId w:val="1"/>
        </w:numPr>
      </w:pPr>
      <w:r w:rsidRPr="00EE66BC">
        <w:t>Resulting in a polytomy 182 years ago (1831)</w:t>
      </w:r>
    </w:p>
    <w:p w14:paraId="5010B05A" w14:textId="0C5AF1B4" w:rsidR="00886468" w:rsidRDefault="00886468" w:rsidP="00886468">
      <w:pPr>
        <w:pStyle w:val="ListParagraph"/>
        <w:numPr>
          <w:ilvl w:val="2"/>
          <w:numId w:val="1"/>
        </w:numPr>
      </w:pPr>
      <w:proofErr w:type="spellStart"/>
      <w:r>
        <w:t>Scheina</w:t>
      </w:r>
      <w:proofErr w:type="spellEnd"/>
      <w:r>
        <w:t xml:space="preserve">, R. L. (2003). </w:t>
      </w:r>
      <w:r>
        <w:rPr>
          <w:i/>
        </w:rPr>
        <w:t>Latin America’s Wars</w:t>
      </w:r>
      <w:r w:rsidR="00F617F8">
        <w:rPr>
          <w:i/>
        </w:rPr>
        <w:t xml:space="preserve">: The Age of the Caudillo, 1791 - </w:t>
      </w:r>
      <w:proofErr w:type="gramStart"/>
      <w:r w:rsidR="00F617F8">
        <w:rPr>
          <w:i/>
        </w:rPr>
        <w:t xml:space="preserve">1899 </w:t>
      </w:r>
      <w:r>
        <w:rPr>
          <w:i/>
        </w:rPr>
        <w:t xml:space="preserve"> –</w:t>
      </w:r>
      <w:proofErr w:type="gramEnd"/>
      <w:r>
        <w:rPr>
          <w:i/>
        </w:rPr>
        <w:t xml:space="preserve"> Volume 1. </w:t>
      </w:r>
      <w:r>
        <w:t xml:space="preserve"> Washington D.C.: </w:t>
      </w:r>
      <w:proofErr w:type="spellStart"/>
      <w:r>
        <w:t>Brassey’s</w:t>
      </w:r>
      <w:proofErr w:type="spellEnd"/>
      <w:r>
        <w:t xml:space="preserve"> Inc. </w:t>
      </w:r>
    </w:p>
    <w:p w14:paraId="34DEFD2C" w14:textId="77777777" w:rsidR="00284D34" w:rsidRDefault="00284D34" w:rsidP="00284D34">
      <w:pPr>
        <w:pStyle w:val="ListParagraph"/>
        <w:numPr>
          <w:ilvl w:val="1"/>
          <w:numId w:val="1"/>
        </w:numPr>
      </w:pPr>
      <w:r>
        <w:lastRenderedPageBreak/>
        <w:t xml:space="preserve">United Provinces of Central America was next dissolved in </w:t>
      </w:r>
      <w:r w:rsidR="00397AA5">
        <w:t>1840 resulting in the states:</w:t>
      </w:r>
    </w:p>
    <w:p w14:paraId="69A34970" w14:textId="77777777" w:rsidR="00397AA5" w:rsidRPr="00397AA5" w:rsidRDefault="00397AA5" w:rsidP="00397AA5">
      <w:pPr>
        <w:pStyle w:val="ListParagraph"/>
        <w:numPr>
          <w:ilvl w:val="2"/>
          <w:numId w:val="1"/>
        </w:numPr>
        <w:rPr>
          <w:b/>
        </w:rPr>
      </w:pPr>
      <w:r w:rsidRPr="00397AA5">
        <w:rPr>
          <w:b/>
        </w:rPr>
        <w:t>Costa Rica</w:t>
      </w:r>
    </w:p>
    <w:p w14:paraId="38454054" w14:textId="77777777" w:rsidR="00397AA5" w:rsidRPr="00397AA5" w:rsidRDefault="00397AA5" w:rsidP="00397AA5">
      <w:pPr>
        <w:pStyle w:val="ListParagraph"/>
        <w:numPr>
          <w:ilvl w:val="2"/>
          <w:numId w:val="1"/>
        </w:numPr>
      </w:pPr>
      <w:r>
        <w:rPr>
          <w:b/>
        </w:rPr>
        <w:t xml:space="preserve">El Salvador </w:t>
      </w:r>
    </w:p>
    <w:p w14:paraId="53C1ACE8" w14:textId="77777777" w:rsidR="00397AA5" w:rsidRPr="00397AA5" w:rsidRDefault="00397AA5" w:rsidP="00397AA5">
      <w:pPr>
        <w:pStyle w:val="ListParagraph"/>
        <w:numPr>
          <w:ilvl w:val="2"/>
          <w:numId w:val="1"/>
        </w:numPr>
      </w:pPr>
      <w:r>
        <w:rPr>
          <w:b/>
        </w:rPr>
        <w:t>Guatemala</w:t>
      </w:r>
    </w:p>
    <w:p w14:paraId="48132AAE" w14:textId="77777777" w:rsidR="00397AA5" w:rsidRPr="00397AA5" w:rsidRDefault="00397AA5" w:rsidP="00397AA5">
      <w:pPr>
        <w:pStyle w:val="ListParagraph"/>
        <w:numPr>
          <w:ilvl w:val="2"/>
          <w:numId w:val="1"/>
        </w:numPr>
      </w:pPr>
      <w:r>
        <w:rPr>
          <w:b/>
        </w:rPr>
        <w:t>Honduras</w:t>
      </w:r>
    </w:p>
    <w:p w14:paraId="22592C5B" w14:textId="77777777" w:rsidR="008D0DD1" w:rsidRPr="00EE66BC" w:rsidRDefault="00397AA5" w:rsidP="008D0DD1">
      <w:pPr>
        <w:pStyle w:val="ListParagraph"/>
        <w:numPr>
          <w:ilvl w:val="2"/>
          <w:numId w:val="1"/>
        </w:numPr>
      </w:pPr>
      <w:r>
        <w:rPr>
          <w:b/>
        </w:rPr>
        <w:t xml:space="preserve">Nicaragua </w:t>
      </w:r>
    </w:p>
    <w:p w14:paraId="6B175B42" w14:textId="0C66AFA4" w:rsidR="00E52810" w:rsidRPr="00ED496B" w:rsidRDefault="00E52810" w:rsidP="00EE66BC">
      <w:pPr>
        <w:pStyle w:val="ListParagraph"/>
        <w:numPr>
          <w:ilvl w:val="1"/>
          <w:numId w:val="1"/>
        </w:numPr>
      </w:pPr>
      <w:r w:rsidRPr="00EE66BC">
        <w:t>Again, this gave a polytomy, this time 172 years ago in 1840</w:t>
      </w:r>
    </w:p>
    <w:p w14:paraId="453097BC" w14:textId="77777777" w:rsidR="00F617F8" w:rsidRDefault="00F617F8" w:rsidP="00F617F8">
      <w:pPr>
        <w:pStyle w:val="ListParagraph"/>
        <w:numPr>
          <w:ilvl w:val="2"/>
          <w:numId w:val="1"/>
        </w:numPr>
      </w:pPr>
      <w:proofErr w:type="spellStart"/>
      <w:r>
        <w:t>Scheina</w:t>
      </w:r>
      <w:proofErr w:type="spellEnd"/>
      <w:r>
        <w:t xml:space="preserve">, R. L. (2003). </w:t>
      </w:r>
      <w:r>
        <w:rPr>
          <w:i/>
        </w:rPr>
        <w:t xml:space="preserve">Latin America’s Wars: The Age of the Caudillo, 1791 - </w:t>
      </w:r>
      <w:proofErr w:type="gramStart"/>
      <w:r>
        <w:rPr>
          <w:i/>
        </w:rPr>
        <w:t>1899  –</w:t>
      </w:r>
      <w:proofErr w:type="gramEnd"/>
      <w:r>
        <w:rPr>
          <w:i/>
        </w:rPr>
        <w:t xml:space="preserve"> Volume 1. </w:t>
      </w:r>
      <w:r>
        <w:t xml:space="preserve"> Washington D.C.: </w:t>
      </w:r>
      <w:proofErr w:type="spellStart"/>
      <w:r>
        <w:t>Brassey’s</w:t>
      </w:r>
      <w:proofErr w:type="spellEnd"/>
      <w:r>
        <w:t xml:space="preserve"> Inc. </w:t>
      </w:r>
    </w:p>
    <w:p w14:paraId="7F633303" w14:textId="77777777" w:rsidR="00397AA5" w:rsidRDefault="00397AA5" w:rsidP="00397AA5">
      <w:pPr>
        <w:pStyle w:val="ListParagraph"/>
        <w:numPr>
          <w:ilvl w:val="0"/>
          <w:numId w:val="1"/>
        </w:numPr>
      </w:pPr>
      <w:r>
        <w:t xml:space="preserve">Spain held some states under its jurisdiction longer than the previously mentioned states </w:t>
      </w:r>
    </w:p>
    <w:p w14:paraId="1BA9078F" w14:textId="5956914F" w:rsidR="008D0DD1" w:rsidRDefault="00397AA5" w:rsidP="008D0DD1">
      <w:pPr>
        <w:pStyle w:val="ListParagraph"/>
        <w:numPr>
          <w:ilvl w:val="1"/>
          <w:numId w:val="1"/>
        </w:numPr>
      </w:pPr>
      <w:r w:rsidRPr="00397AA5">
        <w:rPr>
          <w:b/>
        </w:rPr>
        <w:t>The Dominican Republic</w:t>
      </w:r>
      <w:r>
        <w:t xml:space="preserve"> gained independence from Spain in 1865</w:t>
      </w:r>
      <w:r w:rsidR="00693051">
        <w:t xml:space="preserve"> (148 years ago)</w:t>
      </w:r>
      <w:r w:rsidR="00E52810">
        <w:t>, which was used as a point of divergence from Spanish culture</w:t>
      </w:r>
      <w:r w:rsidR="00ED496B">
        <w:t>.</w:t>
      </w:r>
    </w:p>
    <w:p w14:paraId="3E93AA07" w14:textId="534B6D6B" w:rsidR="008D0DD1" w:rsidRPr="0061190A" w:rsidRDefault="0061190A" w:rsidP="008D0DD1">
      <w:pPr>
        <w:pStyle w:val="ListParagraph"/>
        <w:numPr>
          <w:ilvl w:val="2"/>
          <w:numId w:val="1"/>
        </w:numPr>
      </w:pPr>
      <w:r w:rsidRPr="0061190A">
        <w:t xml:space="preserve">CIA. (2014). </w:t>
      </w:r>
      <w:proofErr w:type="gramStart"/>
      <w:r w:rsidRPr="0061190A">
        <w:rPr>
          <w:i/>
        </w:rPr>
        <w:t>The</w:t>
      </w:r>
      <w:proofErr w:type="gramEnd"/>
      <w:r w:rsidRPr="0061190A">
        <w:rPr>
          <w:i/>
        </w:rPr>
        <w:t xml:space="preserve"> World </w:t>
      </w:r>
      <w:proofErr w:type="spellStart"/>
      <w:r w:rsidRPr="0061190A">
        <w:rPr>
          <w:i/>
        </w:rPr>
        <w:t>Fact</w:t>
      </w:r>
      <w:r w:rsidR="008D0DD1" w:rsidRPr="0061190A">
        <w:rPr>
          <w:i/>
        </w:rPr>
        <w:t>book</w:t>
      </w:r>
      <w:proofErr w:type="spellEnd"/>
      <w:r w:rsidRPr="0061190A">
        <w:rPr>
          <w:i/>
        </w:rPr>
        <w:t xml:space="preserve"> – Dominican Republic</w:t>
      </w:r>
      <w:r w:rsidRPr="0061190A">
        <w:t>. Retrieved from</w:t>
      </w:r>
      <w:r w:rsidR="008D0DD1" w:rsidRPr="0061190A">
        <w:t xml:space="preserve"> </w:t>
      </w:r>
      <w:hyperlink r:id="rId21" w:history="1">
        <w:r w:rsidR="008D0DD1" w:rsidRPr="0061190A">
          <w:rPr>
            <w:rStyle w:val="Hyperlink"/>
          </w:rPr>
          <w:t>https://www.cia.gov/library/publications/the-world-factbook/geos/dr.html</w:t>
        </w:r>
      </w:hyperlink>
    </w:p>
    <w:p w14:paraId="41EEA768" w14:textId="5EADB5B8" w:rsidR="00397AA5" w:rsidRDefault="00397AA5" w:rsidP="00397AA5">
      <w:pPr>
        <w:pStyle w:val="ListParagraph"/>
        <w:numPr>
          <w:ilvl w:val="1"/>
          <w:numId w:val="1"/>
        </w:numPr>
      </w:pPr>
      <w:r w:rsidRPr="00397AA5">
        <w:rPr>
          <w:b/>
        </w:rPr>
        <w:t>Cuba</w:t>
      </w:r>
      <w:r>
        <w:t xml:space="preserve"> gained independence in 1895</w:t>
      </w:r>
      <w:r w:rsidR="00693051">
        <w:t xml:space="preserve"> (118 years ago)</w:t>
      </w:r>
      <w:r w:rsidR="00ED496B">
        <w:t>, we again used independence as a point of divergence from Spanish culture</w:t>
      </w:r>
    </w:p>
    <w:p w14:paraId="7B992AF4" w14:textId="07B8653C" w:rsidR="008D0DD1" w:rsidRPr="008D0DD1" w:rsidRDefault="008D0DD1" w:rsidP="008D0DD1">
      <w:pPr>
        <w:pStyle w:val="ListParagraph"/>
        <w:numPr>
          <w:ilvl w:val="2"/>
          <w:numId w:val="1"/>
        </w:numPr>
        <w:rPr>
          <w:i/>
        </w:rPr>
      </w:pPr>
      <w:r w:rsidRPr="0061190A">
        <w:t>CIA</w:t>
      </w:r>
      <w:r w:rsidR="0061190A">
        <w:rPr>
          <w:i/>
        </w:rPr>
        <w:t xml:space="preserve">. </w:t>
      </w:r>
      <w:r w:rsidR="0061190A">
        <w:t xml:space="preserve">(2014). </w:t>
      </w:r>
      <w:proofErr w:type="gramStart"/>
      <w:r w:rsidR="0061190A">
        <w:rPr>
          <w:i/>
        </w:rPr>
        <w:t>The</w:t>
      </w:r>
      <w:proofErr w:type="gramEnd"/>
      <w:r w:rsidR="0061190A">
        <w:rPr>
          <w:i/>
        </w:rPr>
        <w:t xml:space="preserve"> World</w:t>
      </w:r>
      <w:r w:rsidRPr="008D0DD1">
        <w:rPr>
          <w:i/>
        </w:rPr>
        <w:t xml:space="preserve"> </w:t>
      </w:r>
      <w:proofErr w:type="spellStart"/>
      <w:r w:rsidR="0061190A">
        <w:rPr>
          <w:i/>
        </w:rPr>
        <w:t>F</w:t>
      </w:r>
      <w:r w:rsidRPr="008D0DD1">
        <w:rPr>
          <w:i/>
        </w:rPr>
        <w:t>actbook</w:t>
      </w:r>
      <w:proofErr w:type="spellEnd"/>
      <w:r w:rsidR="0061190A">
        <w:rPr>
          <w:i/>
        </w:rPr>
        <w:t xml:space="preserve"> – Cuba. </w:t>
      </w:r>
      <w:r w:rsidR="0061190A">
        <w:t xml:space="preserve">Retrieved from </w:t>
      </w:r>
      <w:hyperlink r:id="rId22" w:history="1">
        <w:r w:rsidRPr="0061190A">
          <w:rPr>
            <w:rStyle w:val="Hyperlink"/>
          </w:rPr>
          <w:t>https://www.cia.gov/library/publications/the-world-factbook/geos/cu.html</w:t>
        </w:r>
      </w:hyperlink>
    </w:p>
    <w:p w14:paraId="13F9AF05" w14:textId="2BA4FD1A" w:rsidR="002E7C1E" w:rsidRDefault="00397AA5" w:rsidP="00397AA5">
      <w:pPr>
        <w:pStyle w:val="ListParagraph"/>
        <w:numPr>
          <w:ilvl w:val="1"/>
          <w:numId w:val="1"/>
        </w:numPr>
      </w:pPr>
      <w:r>
        <w:t xml:space="preserve">Spain’s African territory </w:t>
      </w:r>
      <w:r w:rsidRPr="00397AA5">
        <w:rPr>
          <w:b/>
        </w:rPr>
        <w:t>Equatorial Guinea</w:t>
      </w:r>
      <w:r>
        <w:t xml:space="preserve"> declared its independence only 45 years ago in 1968</w:t>
      </w:r>
      <w:r w:rsidR="00ED496B">
        <w:t xml:space="preserve">. The independence of E.G was used as a point of divergence from Spanish culture. </w:t>
      </w:r>
      <w:r w:rsidR="002E7C1E">
        <w:tab/>
      </w:r>
    </w:p>
    <w:p w14:paraId="526069F2" w14:textId="4F6B7561" w:rsidR="00397AA5" w:rsidRPr="00284D34" w:rsidRDefault="008D0DD1" w:rsidP="002E7C1E">
      <w:pPr>
        <w:pStyle w:val="ListParagraph"/>
        <w:numPr>
          <w:ilvl w:val="2"/>
          <w:numId w:val="1"/>
        </w:numPr>
      </w:pPr>
      <w:r w:rsidRPr="0061190A">
        <w:t>CIA</w:t>
      </w:r>
      <w:r w:rsidR="0061190A">
        <w:t xml:space="preserve">. (2014). </w:t>
      </w:r>
      <w:r w:rsidR="0061190A" w:rsidRPr="0061190A">
        <w:rPr>
          <w:i/>
        </w:rPr>
        <w:t>The World</w:t>
      </w:r>
      <w:r w:rsidRPr="002E7C1E">
        <w:rPr>
          <w:i/>
        </w:rPr>
        <w:t xml:space="preserve"> Fact-book</w:t>
      </w:r>
      <w:r w:rsidR="0061190A">
        <w:rPr>
          <w:i/>
        </w:rPr>
        <w:t xml:space="preserve"> – Equatorial Guinea. </w:t>
      </w:r>
      <w:r w:rsidR="0061190A">
        <w:t>Retrieved from</w:t>
      </w:r>
      <w:r w:rsidRPr="002E7C1E">
        <w:rPr>
          <w:i/>
        </w:rPr>
        <w:t xml:space="preserve"> </w:t>
      </w:r>
      <w:hyperlink r:id="rId23" w:history="1">
        <w:r w:rsidRPr="0061190A">
          <w:rPr>
            <w:rStyle w:val="Hyperlink"/>
          </w:rPr>
          <w:t>https://www.cia.gov/library/publications/the-world-factbook/geos/ek.html</w:t>
        </w:r>
      </w:hyperlink>
    </w:p>
    <w:sectPr w:rsidR="00397AA5" w:rsidRPr="00284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A7418"/>
    <w:multiLevelType w:val="hybridMultilevel"/>
    <w:tmpl w:val="EF7E6C74"/>
    <w:lvl w:ilvl="0" w:tplc="A70E750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57ECC"/>
    <w:multiLevelType w:val="hybridMultilevel"/>
    <w:tmpl w:val="46A6E50A"/>
    <w:lvl w:ilvl="0" w:tplc="D284B8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60"/>
    <w:rsid w:val="00047B1A"/>
    <w:rsid w:val="000527DD"/>
    <w:rsid w:val="00055244"/>
    <w:rsid w:val="00195C8F"/>
    <w:rsid w:val="00197983"/>
    <w:rsid w:val="001A2B8C"/>
    <w:rsid w:val="001C0E91"/>
    <w:rsid w:val="001E263D"/>
    <w:rsid w:val="001F089D"/>
    <w:rsid w:val="00225413"/>
    <w:rsid w:val="00284D34"/>
    <w:rsid w:val="00295F51"/>
    <w:rsid w:val="002A6797"/>
    <w:rsid w:val="002D576F"/>
    <w:rsid w:val="002E6176"/>
    <w:rsid w:val="002E7C1E"/>
    <w:rsid w:val="00322F33"/>
    <w:rsid w:val="0038544B"/>
    <w:rsid w:val="00386646"/>
    <w:rsid w:val="00397AA5"/>
    <w:rsid w:val="003A2744"/>
    <w:rsid w:val="004452AB"/>
    <w:rsid w:val="004676C8"/>
    <w:rsid w:val="004B470B"/>
    <w:rsid w:val="004C53B7"/>
    <w:rsid w:val="004E54F2"/>
    <w:rsid w:val="00586CAF"/>
    <w:rsid w:val="005E5F30"/>
    <w:rsid w:val="0061190A"/>
    <w:rsid w:val="006227AE"/>
    <w:rsid w:val="00682ABB"/>
    <w:rsid w:val="00693051"/>
    <w:rsid w:val="006957D7"/>
    <w:rsid w:val="006A2B3A"/>
    <w:rsid w:val="006D3038"/>
    <w:rsid w:val="00770C41"/>
    <w:rsid w:val="00772FF6"/>
    <w:rsid w:val="00775360"/>
    <w:rsid w:val="007E5BF6"/>
    <w:rsid w:val="008522CB"/>
    <w:rsid w:val="00886468"/>
    <w:rsid w:val="008A5460"/>
    <w:rsid w:val="008D0DD1"/>
    <w:rsid w:val="00963361"/>
    <w:rsid w:val="009A0E26"/>
    <w:rsid w:val="009A44A7"/>
    <w:rsid w:val="009D17BC"/>
    <w:rsid w:val="00A735E8"/>
    <w:rsid w:val="00AE6D59"/>
    <w:rsid w:val="00B375AD"/>
    <w:rsid w:val="00B552F6"/>
    <w:rsid w:val="00BA7B21"/>
    <w:rsid w:val="00BB3A14"/>
    <w:rsid w:val="00BC3A64"/>
    <w:rsid w:val="00BC6C5F"/>
    <w:rsid w:val="00BE7D3E"/>
    <w:rsid w:val="00BF25CE"/>
    <w:rsid w:val="00C62793"/>
    <w:rsid w:val="00C62AB0"/>
    <w:rsid w:val="00CB3DD4"/>
    <w:rsid w:val="00CD32A9"/>
    <w:rsid w:val="00D91696"/>
    <w:rsid w:val="00DB283A"/>
    <w:rsid w:val="00DB59F1"/>
    <w:rsid w:val="00E4365D"/>
    <w:rsid w:val="00E52810"/>
    <w:rsid w:val="00E86463"/>
    <w:rsid w:val="00ED496B"/>
    <w:rsid w:val="00EE5F06"/>
    <w:rsid w:val="00EE66BC"/>
    <w:rsid w:val="00F46E6A"/>
    <w:rsid w:val="00F617F8"/>
    <w:rsid w:val="00F667D1"/>
    <w:rsid w:val="00FA1A1F"/>
    <w:rsid w:val="00FA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6BF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0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B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2B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A2B3A"/>
    <w:pPr>
      <w:ind w:left="720"/>
      <w:contextualSpacing/>
    </w:pPr>
  </w:style>
  <w:style w:type="table" w:styleId="TableGrid">
    <w:name w:val="Table Grid"/>
    <w:basedOn w:val="TableNormal"/>
    <w:uiPriority w:val="59"/>
    <w:rsid w:val="006A2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2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6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6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6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3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35E8"/>
    <w:rPr>
      <w:i/>
      <w:iCs/>
    </w:rPr>
  </w:style>
  <w:style w:type="character" w:styleId="Hyperlink">
    <w:name w:val="Hyperlink"/>
    <w:basedOn w:val="DefaultParagraphFont"/>
    <w:uiPriority w:val="99"/>
    <w:unhideWhenUsed/>
    <w:rsid w:val="005E5F3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0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dmd">
    <w:name w:val="addmd"/>
    <w:basedOn w:val="DefaultParagraphFont"/>
    <w:rsid w:val="008D0DD1"/>
  </w:style>
  <w:style w:type="character" w:styleId="FollowedHyperlink">
    <w:name w:val="FollowedHyperlink"/>
    <w:basedOn w:val="DefaultParagraphFont"/>
    <w:uiPriority w:val="99"/>
    <w:semiHidden/>
    <w:unhideWhenUsed/>
    <w:rsid w:val="00295F5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667D1"/>
    <w:pPr>
      <w:spacing w:after="0" w:line="240" w:lineRule="auto"/>
    </w:pPr>
  </w:style>
  <w:style w:type="character" w:customStyle="1" w:styleId="exldetailsdisplayval">
    <w:name w:val="exldetailsdisplayval"/>
    <w:basedOn w:val="DefaultParagraphFont"/>
    <w:rsid w:val="00DB59F1"/>
  </w:style>
  <w:style w:type="character" w:customStyle="1" w:styleId="apple-converted-space">
    <w:name w:val="apple-converted-space"/>
    <w:basedOn w:val="DefaultParagraphFont"/>
    <w:rsid w:val="007E5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0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B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2B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A2B3A"/>
    <w:pPr>
      <w:ind w:left="720"/>
      <w:contextualSpacing/>
    </w:pPr>
  </w:style>
  <w:style w:type="table" w:styleId="TableGrid">
    <w:name w:val="Table Grid"/>
    <w:basedOn w:val="TableNormal"/>
    <w:uiPriority w:val="59"/>
    <w:rsid w:val="006A2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2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6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6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6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3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35E8"/>
    <w:rPr>
      <w:i/>
      <w:iCs/>
    </w:rPr>
  </w:style>
  <w:style w:type="character" w:styleId="Hyperlink">
    <w:name w:val="Hyperlink"/>
    <w:basedOn w:val="DefaultParagraphFont"/>
    <w:uiPriority w:val="99"/>
    <w:unhideWhenUsed/>
    <w:rsid w:val="005E5F3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0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dmd">
    <w:name w:val="addmd"/>
    <w:basedOn w:val="DefaultParagraphFont"/>
    <w:rsid w:val="008D0DD1"/>
  </w:style>
  <w:style w:type="character" w:styleId="FollowedHyperlink">
    <w:name w:val="FollowedHyperlink"/>
    <w:basedOn w:val="DefaultParagraphFont"/>
    <w:uiPriority w:val="99"/>
    <w:semiHidden/>
    <w:unhideWhenUsed/>
    <w:rsid w:val="00295F5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667D1"/>
    <w:pPr>
      <w:spacing w:after="0" w:line="240" w:lineRule="auto"/>
    </w:pPr>
  </w:style>
  <w:style w:type="character" w:customStyle="1" w:styleId="exldetailsdisplayval">
    <w:name w:val="exldetailsdisplayval"/>
    <w:basedOn w:val="DefaultParagraphFont"/>
    <w:rsid w:val="00DB59F1"/>
  </w:style>
  <w:style w:type="character" w:customStyle="1" w:styleId="apple-converted-space">
    <w:name w:val="apple-converted-space"/>
    <w:basedOn w:val="DefaultParagraphFont"/>
    <w:rsid w:val="007E5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.state.gov/countries/orange-free-state" TargetMode="External"/><Relationship Id="rId13" Type="http://schemas.openxmlformats.org/officeDocument/2006/relationships/hyperlink" Target="https://www.cia.gov/library/publications/the-world-factbook/geos/td.html" TargetMode="External"/><Relationship Id="rId18" Type="http://schemas.openxmlformats.org/officeDocument/2006/relationships/hyperlink" Target="http://www.umsl.edu/services/govdocs/wofact2001/geos/sr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ia.gov/library/publications/the-world-factbook/geos/dr.html" TargetMode="External"/><Relationship Id="rId7" Type="http://schemas.openxmlformats.org/officeDocument/2006/relationships/hyperlink" Target="https://www.cia.gov/library/publications/the-world-factbook/geos/kv.html" TargetMode="External"/><Relationship Id="rId12" Type="http://schemas.openxmlformats.org/officeDocument/2006/relationships/hyperlink" Target="http://nzetc.victoria.ac.nz/tm/scholarly/tei-TaiProp-t1-g1-t1-body1-d8.html" TargetMode="External"/><Relationship Id="rId17" Type="http://schemas.openxmlformats.org/officeDocument/2006/relationships/hyperlink" Target="https://www.cia.gov/library/publications/the-world-factbook/geos/kz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ia.gov/library/publications/the-world-factbook/geos/rs.html" TargetMode="External"/><Relationship Id="rId20" Type="http://schemas.openxmlformats.org/officeDocument/2006/relationships/hyperlink" Target="http://en.wikipedia.org/wiki/Timeline_of_the_Spanish_American_wars_of_independenc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ec.gov.au/Elections/Australian_Electoral_History/reform.ht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rishstatutebook.ie/1922/en/act/pub/0001/print.html" TargetMode="External"/><Relationship Id="rId23" Type="http://schemas.openxmlformats.org/officeDocument/2006/relationships/hyperlink" Target="https://www.cia.gov/library/publications/the-world-factbook/geos/ek.html" TargetMode="External"/><Relationship Id="rId10" Type="http://schemas.openxmlformats.org/officeDocument/2006/relationships/hyperlink" Target="http://www.loc.gov/rr/program/bib/ourdocs/DeclarInd.html" TargetMode="External"/><Relationship Id="rId19" Type="http://schemas.openxmlformats.org/officeDocument/2006/relationships/hyperlink" Target="http://www.umsl.edu/services/govdocs/wofact2003/geos/y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ia.gov/library/publications/the-world-factbook/geos/ez.html" TargetMode="External"/><Relationship Id="rId14" Type="http://schemas.openxmlformats.org/officeDocument/2006/relationships/hyperlink" Target="https://www.cia.gov/library/publications/the-world-factbook/geos/jm.html" TargetMode="External"/><Relationship Id="rId22" Type="http://schemas.openxmlformats.org/officeDocument/2006/relationships/hyperlink" Target="https://www.cia.gov/library/publications/the-world-factbook/geos/c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0F62E-D9E0-4F73-B5B2-12679CF1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UoA</Company>
  <LinksUpToDate>false</LinksUpToDate>
  <CharactersWithSpaces>13095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Passmore</dc:creator>
  <cp:lastModifiedBy>Luke Matthews</cp:lastModifiedBy>
  <cp:revision>11</cp:revision>
  <dcterms:created xsi:type="dcterms:W3CDTF">2013-05-28T00:46:00Z</dcterms:created>
  <dcterms:modified xsi:type="dcterms:W3CDTF">2014-07-15T19:43:00Z</dcterms:modified>
</cp:coreProperties>
</file>