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41" w:rsidRDefault="002A3692" w:rsidP="002A3692">
      <w:pPr>
        <w:ind w:left="720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S2 </w:t>
      </w:r>
      <w:r w:rsidR="00F24741">
        <w:rPr>
          <w:rFonts w:ascii="Arial" w:eastAsia="Times New Roman" w:hAnsi="Arial" w:cs="Arial"/>
          <w:b/>
          <w:u w:val="single"/>
        </w:rPr>
        <w:t>Dataset</w:t>
      </w:r>
      <w:bookmarkStart w:id="0" w:name="_GoBack"/>
      <w:bookmarkEnd w:id="0"/>
      <w:r>
        <w:rPr>
          <w:rFonts w:ascii="Arial" w:eastAsia="Times New Roman" w:hAnsi="Arial" w:cs="Arial"/>
          <w:b/>
          <w:u w:val="single"/>
        </w:rPr>
        <w:t xml:space="preserve"> </w:t>
      </w:r>
    </w:p>
    <w:p w:rsidR="002A3692" w:rsidRPr="00A630ED" w:rsidRDefault="002A3692" w:rsidP="002A3692">
      <w:pPr>
        <w:ind w:left="720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Effects of T1 on Measured T1ρ</w:t>
      </w:r>
    </w:p>
    <w:p w:rsidR="002A3692" w:rsidRDefault="002A3692" w:rsidP="002A3692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investigated whether MnCl</w:t>
      </w:r>
      <w:r w:rsidRPr="00D81926">
        <w:rPr>
          <w:rFonts w:ascii="Arial" w:eastAsia="Times New Roman" w:hAnsi="Arial" w:cs="Arial"/>
          <w:vertAlign w:val="subscript"/>
        </w:rPr>
        <w:t>2</w:t>
      </w:r>
      <w:r>
        <w:rPr>
          <w:rFonts w:ascii="Arial" w:eastAsia="Times New Roman" w:hAnsi="Arial" w:cs="Arial"/>
        </w:rPr>
        <w:t xml:space="preserve"> phantoms with short T1 relaxation times would be incorrectly measured with single-shot T1ρ-prepared </w:t>
      </w:r>
      <w:proofErr w:type="spellStart"/>
      <w:r>
        <w:rPr>
          <w:rFonts w:ascii="Arial" w:eastAsia="Times New Roman" w:hAnsi="Arial" w:cs="Arial"/>
        </w:rPr>
        <w:t>bSSFP</w:t>
      </w:r>
      <w:proofErr w:type="spellEnd"/>
      <w:r>
        <w:rPr>
          <w:rFonts w:ascii="Arial" w:eastAsia="Times New Roman" w:hAnsi="Arial" w:cs="Arial"/>
        </w:rPr>
        <w:t>. The rationale was that the short T1 would cause the signal to enter a steady-state during spatial encoding and incorrectly measure T1ρ.</w:t>
      </w:r>
    </w:p>
    <w:p w:rsidR="002A3692" w:rsidRPr="00746596" w:rsidRDefault="002A3692" w:rsidP="002A3692">
      <w:pPr>
        <w:ind w:left="720"/>
        <w:rPr>
          <w:rFonts w:ascii="Arial" w:eastAsia="Times New Roman" w:hAnsi="Arial" w:cs="Arial"/>
        </w:rPr>
      </w:pPr>
      <w:r w:rsidRPr="00746596">
        <w:rPr>
          <w:rFonts w:ascii="Arial" w:eastAsia="Times New Roman" w:hAnsi="Arial" w:cs="Arial"/>
          <w:b/>
        </w:rPr>
        <w:t>Fig. S2. Effect of T1 on measured MnCl</w:t>
      </w:r>
      <w:r w:rsidRPr="00746596">
        <w:rPr>
          <w:rFonts w:ascii="Arial" w:eastAsia="Times New Roman" w:hAnsi="Arial" w:cs="Arial"/>
          <w:b/>
          <w:vertAlign w:val="subscript"/>
        </w:rPr>
        <w:t>2</w:t>
      </w:r>
      <w:r w:rsidRPr="00746596">
        <w:rPr>
          <w:rFonts w:ascii="Arial" w:eastAsia="Times New Roman" w:hAnsi="Arial" w:cs="Arial"/>
          <w:b/>
        </w:rPr>
        <w:t xml:space="preserve"> phantom T1ρ relaxation times.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A, 8 phantoms with different T1 and T1ρ relaxation times (0.002-0.012 mg MnCl</w:t>
      </w:r>
      <w:r w:rsidRPr="00106658">
        <w:rPr>
          <w:rFonts w:ascii="Arial" w:eastAsia="Times New Roman" w:hAnsi="Arial" w:cs="Arial"/>
          <w:vertAlign w:val="subscript"/>
        </w:rPr>
        <w:t>2</w:t>
      </w:r>
      <w:r>
        <w:rPr>
          <w:rFonts w:ascii="Arial" w:eastAsia="Times New Roman" w:hAnsi="Arial" w:cs="Arial"/>
        </w:rPr>
        <w:t>/100 mL H</w:t>
      </w:r>
      <w:r w:rsidRPr="00106658">
        <w:rPr>
          <w:rFonts w:ascii="Arial" w:eastAsia="Times New Roman" w:hAnsi="Arial" w:cs="Arial"/>
          <w:vertAlign w:val="subscript"/>
        </w:rPr>
        <w:t>2</w:t>
      </w:r>
      <w:r>
        <w:rPr>
          <w:rFonts w:ascii="Arial" w:eastAsia="Times New Roman" w:hAnsi="Arial" w:cs="Arial"/>
        </w:rPr>
        <w:t xml:space="preserve">O) using the reference sequence (orange) and single-shot </w:t>
      </w:r>
      <w:proofErr w:type="spellStart"/>
      <w:r>
        <w:rPr>
          <w:rFonts w:ascii="Arial" w:eastAsia="Times New Roman" w:hAnsi="Arial" w:cs="Arial"/>
        </w:rPr>
        <w:t>bSSFP</w:t>
      </w:r>
      <w:proofErr w:type="spellEnd"/>
      <w:r>
        <w:rPr>
          <w:rFonts w:ascii="Arial" w:eastAsia="Times New Roman" w:hAnsi="Arial" w:cs="Arial"/>
        </w:rPr>
        <w:t xml:space="preserve"> with 2-point and 3-point fits. Data was fit with a fourth-order polynomial to indicate trends. The reference sequence was a single echo GRE sequence. Further scan parameters were in the paper. T1 was obtained using an inversion recovery-prepared single gradient echo readout. B, 2-point fit to shortest T1 phantom data (green) and 3-point fit (red). </w:t>
      </w:r>
    </w:p>
    <w:p w:rsidR="002A3692" w:rsidRDefault="002A3692" w:rsidP="002A369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5407B0F9" wp14:editId="461D14AD">
            <wp:extent cx="6858000" cy="3128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t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92" w:rsidRDefault="002A3692" w:rsidP="002A3692">
      <w:pPr>
        <w:rPr>
          <w:rFonts w:ascii="Arial" w:eastAsia="Times New Roman" w:hAnsi="Arial" w:cs="Arial"/>
        </w:rPr>
      </w:pPr>
    </w:p>
    <w:p w:rsidR="002A3692" w:rsidRDefault="002A3692" w:rsidP="002A3692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T1 was short, we observed that the 2-point fit significantly overestimated T1ρ. This was attributed to the non-zero steady-state magnetization reached during the </w:t>
      </w:r>
      <w:proofErr w:type="spellStart"/>
      <w:r>
        <w:rPr>
          <w:rFonts w:ascii="Arial" w:eastAsia="Times New Roman" w:hAnsi="Arial" w:cs="Arial"/>
        </w:rPr>
        <w:t>bSSFP</w:t>
      </w:r>
      <w:proofErr w:type="spellEnd"/>
      <w:r>
        <w:rPr>
          <w:rFonts w:ascii="Arial" w:eastAsia="Times New Roman" w:hAnsi="Arial" w:cs="Arial"/>
        </w:rPr>
        <w:t xml:space="preserve"> readout. The 3-point fit modeled the steady-state as an additional parameter and significantly reduced the bias. However, for very long T1, the 3-point fit was less accurate. This may be attributed to the fact that the longest TSL used was 50 </w:t>
      </w:r>
      <w:proofErr w:type="spellStart"/>
      <w:r>
        <w:rPr>
          <w:rFonts w:ascii="Arial" w:eastAsia="Times New Roman" w:hAnsi="Arial" w:cs="Arial"/>
        </w:rPr>
        <w:t>msec</w:t>
      </w:r>
      <w:proofErr w:type="spellEnd"/>
      <w:r>
        <w:rPr>
          <w:rFonts w:ascii="Arial" w:eastAsia="Times New Roman" w:hAnsi="Arial" w:cs="Arial"/>
        </w:rPr>
        <w:t xml:space="preserve"> and did not accurately capture the exponential decay of long T1ρ relaxation times. Myocardium is anticipated to be less sensitive to short T1 effects, since myocardial T1 at 1.5 T is ~1 sec.</w:t>
      </w:r>
    </w:p>
    <w:p w:rsidR="00C371B1" w:rsidRDefault="00C371B1"/>
    <w:sectPr w:rsidR="00C371B1" w:rsidSect="002A3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2"/>
    <w:rsid w:val="002A3692"/>
    <w:rsid w:val="00C371B1"/>
    <w:rsid w:val="00F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D5A4"/>
  <w15:chartTrackingRefBased/>
  <w15:docId w15:val="{6EB55C64-C054-489D-908C-140F1A94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Witschey</dc:creator>
  <cp:keywords/>
  <dc:description/>
  <cp:lastModifiedBy>Walter Witschey</cp:lastModifiedBy>
  <cp:revision>2</cp:revision>
  <dcterms:created xsi:type="dcterms:W3CDTF">2016-03-11T15:04:00Z</dcterms:created>
  <dcterms:modified xsi:type="dcterms:W3CDTF">2016-03-11T15:04:00Z</dcterms:modified>
</cp:coreProperties>
</file>