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9DD13" w14:textId="77777777" w:rsidR="00295A73" w:rsidRDefault="00295A73" w:rsidP="00295A73">
      <w:pPr>
        <w:pStyle w:val="Caption"/>
        <w:keepNext/>
        <w:rPr>
          <w:rFonts w:ascii="Times New Roman" w:hAnsi="Times New Roman"/>
          <w:b w:val="0"/>
          <w:bCs w:val="0"/>
          <w:color w:val="auto"/>
          <w:sz w:val="24"/>
          <w:szCs w:val="22"/>
        </w:rPr>
      </w:pPr>
      <w:bookmarkStart w:id="0" w:name="_Toc384220512"/>
      <w:bookmarkStart w:id="1" w:name="_Toc384220704"/>
      <w:r w:rsidRPr="631A1B1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Table S2. Description and summary statistics of (mean values and standard deviation in parentheses) the land use variables at different spatial scales used for explaining </w:t>
      </w:r>
      <w:proofErr w:type="gramStart"/>
      <w:r w:rsidRPr="631A1B1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>stink bug</w:t>
      </w:r>
      <w:proofErr w:type="gramEnd"/>
      <w:r w:rsidRPr="631A1B11">
        <w:rPr>
          <w:rFonts w:ascii="Times New Roman" w:eastAsia="Times New Roman" w:hAnsi="Times New Roman"/>
          <w:b w:val="0"/>
          <w:bCs w:val="0"/>
          <w:color w:val="auto"/>
          <w:sz w:val="24"/>
          <w:szCs w:val="24"/>
        </w:rPr>
        <w:t xml:space="preserve"> distribution and abundance in mid-Atlantic US.</w:t>
      </w:r>
      <w:bookmarkEnd w:id="0"/>
      <w:bookmarkEnd w:id="1"/>
    </w:p>
    <w:p w14:paraId="3ED5590A" w14:textId="77777777" w:rsidR="00295A73" w:rsidRPr="005244E6" w:rsidRDefault="00295A73" w:rsidP="00295A73"/>
    <w:tbl>
      <w:tblPr>
        <w:tblW w:w="11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960"/>
        <w:gridCol w:w="810"/>
        <w:gridCol w:w="810"/>
        <w:gridCol w:w="810"/>
        <w:gridCol w:w="810"/>
        <w:gridCol w:w="990"/>
        <w:gridCol w:w="810"/>
        <w:gridCol w:w="900"/>
      </w:tblGrid>
      <w:tr w:rsidR="00295A73" w:rsidRPr="007E44FC" w14:paraId="3844DA3F" w14:textId="77777777" w:rsidTr="631A1B11">
        <w:trPr>
          <w:trHeight w:val="315"/>
        </w:trPr>
        <w:tc>
          <w:tcPr>
            <w:tcW w:w="1795" w:type="dxa"/>
            <w:vMerge w:val="restart"/>
            <w:noWrap/>
            <w:hideMark/>
          </w:tcPr>
          <w:p w14:paraId="7CD590AE" w14:textId="77777777" w:rsidR="00295A73" w:rsidRPr="00042A6A" w:rsidRDefault="00295A73" w:rsidP="00BD0ECF">
            <w:pPr>
              <w:rPr>
                <w:b/>
                <w:bCs/>
              </w:rPr>
            </w:pPr>
            <w:r w:rsidRPr="00042A6A">
              <w:rPr>
                <w:b/>
                <w:bCs/>
              </w:rPr>
              <w:t xml:space="preserve">Variable </w:t>
            </w:r>
            <w:r>
              <w:rPr>
                <w:b/>
                <w:bCs/>
              </w:rPr>
              <w:t>code</w:t>
            </w:r>
          </w:p>
        </w:tc>
        <w:tc>
          <w:tcPr>
            <w:tcW w:w="3960" w:type="dxa"/>
            <w:vMerge w:val="restart"/>
            <w:hideMark/>
          </w:tcPr>
          <w:p w14:paraId="75536BBA" w14:textId="77777777" w:rsidR="00295A73" w:rsidRPr="00042A6A" w:rsidRDefault="00295A73" w:rsidP="00BD0ECF">
            <w:pPr>
              <w:rPr>
                <w:b/>
                <w:bCs/>
              </w:rPr>
            </w:pPr>
            <w:r w:rsidRPr="00042A6A">
              <w:rPr>
                <w:b/>
                <w:bCs/>
              </w:rPr>
              <w:t>Description</w:t>
            </w:r>
          </w:p>
        </w:tc>
        <w:tc>
          <w:tcPr>
            <w:tcW w:w="5940" w:type="dxa"/>
            <w:gridSpan w:val="7"/>
          </w:tcPr>
          <w:p w14:paraId="4DD952CB" w14:textId="77777777" w:rsidR="00295A73" w:rsidRPr="00042A6A" w:rsidRDefault="00295A73" w:rsidP="00BD0ECF">
            <w:pPr>
              <w:rPr>
                <w:b/>
                <w:bCs/>
              </w:rPr>
            </w:pPr>
            <w:r w:rsidRPr="00042A6A">
              <w:rPr>
                <w:b/>
                <w:bCs/>
              </w:rPr>
              <w:t>Scale</w:t>
            </w:r>
          </w:p>
        </w:tc>
      </w:tr>
      <w:tr w:rsidR="00295A73" w:rsidRPr="007E44FC" w14:paraId="236E3E66" w14:textId="77777777" w:rsidTr="631A1B11">
        <w:trPr>
          <w:trHeight w:val="315"/>
        </w:trPr>
        <w:tc>
          <w:tcPr>
            <w:tcW w:w="1795" w:type="dxa"/>
            <w:vMerge/>
            <w:noWrap/>
            <w:hideMark/>
          </w:tcPr>
          <w:p w14:paraId="37403180" w14:textId="77777777" w:rsidR="00295A73" w:rsidRPr="007E44FC" w:rsidRDefault="00295A73" w:rsidP="00BD0ECF"/>
        </w:tc>
        <w:tc>
          <w:tcPr>
            <w:tcW w:w="3960" w:type="dxa"/>
            <w:vMerge/>
            <w:hideMark/>
          </w:tcPr>
          <w:p w14:paraId="2C740FA1" w14:textId="77777777" w:rsidR="00295A73" w:rsidRPr="007E44FC" w:rsidRDefault="00295A73" w:rsidP="00BD0ECF"/>
        </w:tc>
        <w:tc>
          <w:tcPr>
            <w:tcW w:w="810" w:type="dxa"/>
            <w:noWrap/>
            <w:hideMark/>
          </w:tcPr>
          <w:p w14:paraId="284A3659" w14:textId="77777777" w:rsidR="00295A73" w:rsidRPr="007E44FC" w:rsidRDefault="00295A73" w:rsidP="00BD0ECF">
            <w:r w:rsidRPr="007E44FC">
              <w:t>100m</w:t>
            </w:r>
          </w:p>
        </w:tc>
        <w:tc>
          <w:tcPr>
            <w:tcW w:w="810" w:type="dxa"/>
          </w:tcPr>
          <w:p w14:paraId="48C08727" w14:textId="77777777" w:rsidR="00295A73" w:rsidRPr="007E44FC" w:rsidRDefault="00295A73" w:rsidP="00BD0ECF">
            <w:r>
              <w:t>250m</w:t>
            </w:r>
          </w:p>
        </w:tc>
        <w:tc>
          <w:tcPr>
            <w:tcW w:w="810" w:type="dxa"/>
            <w:noWrap/>
            <w:hideMark/>
          </w:tcPr>
          <w:p w14:paraId="0B8594CA" w14:textId="77777777" w:rsidR="00295A73" w:rsidRPr="007E44FC" w:rsidRDefault="00295A73" w:rsidP="00BD0ECF">
            <w:r w:rsidRPr="007E44FC">
              <w:t>500m</w:t>
            </w:r>
          </w:p>
        </w:tc>
        <w:tc>
          <w:tcPr>
            <w:tcW w:w="810" w:type="dxa"/>
            <w:noWrap/>
            <w:hideMark/>
          </w:tcPr>
          <w:p w14:paraId="51BD1EF0" w14:textId="77777777" w:rsidR="00295A73" w:rsidRPr="007E44FC" w:rsidRDefault="00295A73" w:rsidP="00BD0ECF">
            <w:r w:rsidRPr="007E44FC">
              <w:t>1 Km</w:t>
            </w:r>
          </w:p>
        </w:tc>
        <w:tc>
          <w:tcPr>
            <w:tcW w:w="990" w:type="dxa"/>
          </w:tcPr>
          <w:p w14:paraId="067B477D" w14:textId="77777777" w:rsidR="00295A73" w:rsidRPr="007E44FC" w:rsidRDefault="00295A73" w:rsidP="00BD0ECF">
            <w:r>
              <w:t>2.5 Km</w:t>
            </w:r>
          </w:p>
        </w:tc>
        <w:tc>
          <w:tcPr>
            <w:tcW w:w="810" w:type="dxa"/>
          </w:tcPr>
          <w:p w14:paraId="36A81DE8" w14:textId="77777777" w:rsidR="00295A73" w:rsidRPr="007E44FC" w:rsidRDefault="00295A73" w:rsidP="00BD0ECF">
            <w:r w:rsidRPr="007E44FC">
              <w:t>5 Km</w:t>
            </w:r>
          </w:p>
        </w:tc>
        <w:tc>
          <w:tcPr>
            <w:tcW w:w="900" w:type="dxa"/>
            <w:noWrap/>
          </w:tcPr>
          <w:p w14:paraId="32F796F4" w14:textId="77777777" w:rsidR="00295A73" w:rsidRPr="007E44FC" w:rsidRDefault="00295A73" w:rsidP="00BD0ECF">
            <w:r>
              <w:t>10 Km</w:t>
            </w:r>
          </w:p>
        </w:tc>
      </w:tr>
      <w:tr w:rsidR="00295A73" w:rsidRPr="007E44FC" w14:paraId="521BB2EB" w14:textId="77777777" w:rsidTr="631A1B11">
        <w:trPr>
          <w:trHeight w:val="647"/>
        </w:trPr>
        <w:tc>
          <w:tcPr>
            <w:tcW w:w="1795" w:type="dxa"/>
            <w:hideMark/>
          </w:tcPr>
          <w:p w14:paraId="66B47712" w14:textId="77777777" w:rsidR="00295A73" w:rsidRPr="007E44FC" w:rsidRDefault="00295A73" w:rsidP="00BD0ECF">
            <w:proofErr w:type="spellStart"/>
            <w:r>
              <w:t>cropscornsoy</w:t>
            </w:r>
            <w:proofErr w:type="spellEnd"/>
          </w:p>
        </w:tc>
        <w:tc>
          <w:tcPr>
            <w:tcW w:w="3960" w:type="dxa"/>
            <w:hideMark/>
          </w:tcPr>
          <w:p w14:paraId="25E8587C" w14:textId="77777777" w:rsidR="00295A73" w:rsidRPr="007E44FC" w:rsidRDefault="00295A73" w:rsidP="00BD0ECF">
            <w:r>
              <w:t>percentage</w:t>
            </w:r>
            <w:r w:rsidRPr="007E44FC">
              <w:t xml:space="preserve"> </w:t>
            </w:r>
            <w:r>
              <w:t xml:space="preserve">corn and soybean fields </w:t>
            </w:r>
          </w:p>
        </w:tc>
        <w:tc>
          <w:tcPr>
            <w:tcW w:w="810" w:type="dxa"/>
            <w:noWrap/>
            <w:hideMark/>
          </w:tcPr>
          <w:p w14:paraId="1EE900EB" w14:textId="77777777" w:rsidR="00295A73" w:rsidRPr="00513750" w:rsidRDefault="00295A73" w:rsidP="00BD0ECF">
            <w:r w:rsidRPr="00513750">
              <w:t>46.4 (25.1)</w:t>
            </w:r>
          </w:p>
        </w:tc>
        <w:tc>
          <w:tcPr>
            <w:tcW w:w="810" w:type="dxa"/>
          </w:tcPr>
          <w:p w14:paraId="6131CB62" w14:textId="77777777" w:rsidR="00295A73" w:rsidRPr="00513750" w:rsidRDefault="00295A73" w:rsidP="00BD0ECF">
            <w:r w:rsidRPr="00513750">
              <w:t>18.1 (10.8)</w:t>
            </w:r>
          </w:p>
        </w:tc>
        <w:tc>
          <w:tcPr>
            <w:tcW w:w="810" w:type="dxa"/>
            <w:noWrap/>
            <w:hideMark/>
          </w:tcPr>
          <w:p w14:paraId="5CCA0F69" w14:textId="77777777" w:rsidR="00295A73" w:rsidRPr="00513750" w:rsidRDefault="00295A73" w:rsidP="00BD0ECF">
            <w:r w:rsidRPr="00513750">
              <w:t>39.2 (20.9)</w:t>
            </w:r>
          </w:p>
        </w:tc>
        <w:tc>
          <w:tcPr>
            <w:tcW w:w="810" w:type="dxa"/>
            <w:noWrap/>
            <w:hideMark/>
          </w:tcPr>
          <w:p w14:paraId="6C9EEC5B" w14:textId="77777777" w:rsidR="00295A73" w:rsidRPr="00513750" w:rsidRDefault="00295A73" w:rsidP="00BD0ECF">
            <w:r w:rsidRPr="00513750">
              <w:t>31.4 (17.5)</w:t>
            </w:r>
          </w:p>
        </w:tc>
        <w:tc>
          <w:tcPr>
            <w:tcW w:w="990" w:type="dxa"/>
          </w:tcPr>
          <w:p w14:paraId="447A5BE1" w14:textId="77777777" w:rsidR="00295A73" w:rsidRPr="00513750" w:rsidRDefault="00295A73" w:rsidP="00BD0ECF">
            <w:r w:rsidRPr="00513750">
              <w:t>23.7 (14.0)</w:t>
            </w:r>
          </w:p>
        </w:tc>
        <w:tc>
          <w:tcPr>
            <w:tcW w:w="810" w:type="dxa"/>
          </w:tcPr>
          <w:p w14:paraId="5E4171F3" w14:textId="77777777" w:rsidR="00295A73" w:rsidRPr="00513750" w:rsidRDefault="00295A73" w:rsidP="00BD0ECF">
            <w:r w:rsidRPr="00513750">
              <w:t>20.7 (12.1)</w:t>
            </w:r>
          </w:p>
        </w:tc>
        <w:tc>
          <w:tcPr>
            <w:tcW w:w="900" w:type="dxa"/>
            <w:noWrap/>
          </w:tcPr>
          <w:p w14:paraId="725C8E50" w14:textId="77777777" w:rsidR="00295A73" w:rsidRDefault="00295A73" w:rsidP="00BD0ECF">
            <w:r w:rsidRPr="00513750">
              <w:t>18.1 (10.8)</w:t>
            </w:r>
          </w:p>
        </w:tc>
      </w:tr>
      <w:tr w:rsidR="00295A73" w:rsidRPr="007E44FC" w14:paraId="5699FC24" w14:textId="77777777" w:rsidTr="631A1B11">
        <w:trPr>
          <w:trHeight w:val="710"/>
        </w:trPr>
        <w:tc>
          <w:tcPr>
            <w:tcW w:w="1795" w:type="dxa"/>
          </w:tcPr>
          <w:p w14:paraId="108D72DC" w14:textId="77777777" w:rsidR="00295A73" w:rsidRPr="007E44FC" w:rsidRDefault="00295A73" w:rsidP="00BD0ECF">
            <w:proofErr w:type="spellStart"/>
            <w:r>
              <w:t>cropsother</w:t>
            </w:r>
            <w:proofErr w:type="spellEnd"/>
          </w:p>
        </w:tc>
        <w:tc>
          <w:tcPr>
            <w:tcW w:w="3960" w:type="dxa"/>
          </w:tcPr>
          <w:p w14:paraId="7F50C736" w14:textId="047FC43A" w:rsidR="00295A73" w:rsidRPr="007E44FC" w:rsidRDefault="631A1B11" w:rsidP="00BD0ECF">
            <w:r>
              <w:t xml:space="preserve">percentage </w:t>
            </w:r>
            <w:r w:rsidR="00295A73" w:rsidRPr="007E44FC">
              <w:t>all</w:t>
            </w:r>
            <w:r w:rsidR="00295A73">
              <w:t xml:space="preserve"> other</w:t>
            </w:r>
            <w:r w:rsidR="00295A73" w:rsidRPr="007E44FC">
              <w:t xml:space="preserve"> cultivated land</w:t>
            </w:r>
            <w:r w:rsidR="00295A73">
              <w:t xml:space="preserve"> </w:t>
            </w:r>
            <w:r w:rsidR="00295A73" w:rsidRPr="007E44FC">
              <w:t>use types</w:t>
            </w:r>
          </w:p>
        </w:tc>
        <w:tc>
          <w:tcPr>
            <w:tcW w:w="810" w:type="dxa"/>
            <w:noWrap/>
          </w:tcPr>
          <w:p w14:paraId="06313039" w14:textId="77777777" w:rsidR="00295A73" w:rsidRPr="005D1994" w:rsidRDefault="00295A73" w:rsidP="00BD0ECF">
            <w:r w:rsidRPr="005D1994">
              <w:t>2.7 (10.0)</w:t>
            </w:r>
          </w:p>
        </w:tc>
        <w:tc>
          <w:tcPr>
            <w:tcW w:w="810" w:type="dxa"/>
          </w:tcPr>
          <w:p w14:paraId="51B6B545" w14:textId="77777777" w:rsidR="00295A73" w:rsidRPr="005D1994" w:rsidRDefault="00295A73" w:rsidP="00BD0ECF">
            <w:r w:rsidRPr="005D1994">
              <w:t>16.0 (8.4)</w:t>
            </w:r>
          </w:p>
        </w:tc>
        <w:tc>
          <w:tcPr>
            <w:tcW w:w="810" w:type="dxa"/>
            <w:noWrap/>
          </w:tcPr>
          <w:p w14:paraId="1C80B277" w14:textId="77777777" w:rsidR="00295A73" w:rsidRPr="005D1994" w:rsidRDefault="00295A73" w:rsidP="00BD0ECF">
            <w:r w:rsidRPr="005D1994">
              <w:t>2.9 (6.0)</w:t>
            </w:r>
          </w:p>
        </w:tc>
        <w:tc>
          <w:tcPr>
            <w:tcW w:w="810" w:type="dxa"/>
            <w:noWrap/>
          </w:tcPr>
          <w:p w14:paraId="55CE62F1" w14:textId="77777777" w:rsidR="00295A73" w:rsidRPr="005D1994" w:rsidRDefault="00295A73" w:rsidP="00BD0ECF">
            <w:r w:rsidRPr="005D1994">
              <w:t>2.3 (4.4)</w:t>
            </w:r>
          </w:p>
        </w:tc>
        <w:tc>
          <w:tcPr>
            <w:tcW w:w="990" w:type="dxa"/>
          </w:tcPr>
          <w:p w14:paraId="092269BC" w14:textId="77777777" w:rsidR="00295A73" w:rsidRPr="005D1994" w:rsidRDefault="00295A73" w:rsidP="00BD0ECF">
            <w:r w:rsidRPr="005D1994">
              <w:t>2.3 (3.6)</w:t>
            </w:r>
          </w:p>
        </w:tc>
        <w:tc>
          <w:tcPr>
            <w:tcW w:w="810" w:type="dxa"/>
          </w:tcPr>
          <w:p w14:paraId="7167030C" w14:textId="77777777" w:rsidR="00295A73" w:rsidRPr="005D1994" w:rsidRDefault="00295A73" w:rsidP="00BD0ECF">
            <w:r w:rsidRPr="005D1994">
              <w:t>2.3 (2.5)</w:t>
            </w:r>
          </w:p>
        </w:tc>
        <w:tc>
          <w:tcPr>
            <w:tcW w:w="900" w:type="dxa"/>
            <w:noWrap/>
          </w:tcPr>
          <w:p w14:paraId="1DC063B7" w14:textId="77777777" w:rsidR="00295A73" w:rsidRDefault="00295A73" w:rsidP="00BD0ECF">
            <w:r w:rsidRPr="005D1994">
              <w:t>16.0 (8.4)</w:t>
            </w:r>
          </w:p>
        </w:tc>
      </w:tr>
      <w:tr w:rsidR="00295A73" w:rsidRPr="007E44FC" w14:paraId="6934F05E" w14:textId="77777777" w:rsidTr="631A1B11">
        <w:trPr>
          <w:trHeight w:val="593"/>
        </w:trPr>
        <w:tc>
          <w:tcPr>
            <w:tcW w:w="1795" w:type="dxa"/>
            <w:hideMark/>
          </w:tcPr>
          <w:p w14:paraId="5EA17AEF" w14:textId="77777777" w:rsidR="00295A73" w:rsidRPr="007E44FC" w:rsidRDefault="00295A73" w:rsidP="00BD0ECF">
            <w:proofErr w:type="spellStart"/>
            <w:r>
              <w:t>forestdeci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28D15D2" w14:textId="7BC153AE" w:rsidR="00295A73" w:rsidRPr="007E44FC" w:rsidRDefault="631A1B11" w:rsidP="00BD0ECF">
            <w:proofErr w:type="gramStart"/>
            <w:r>
              <w:t>percentage</w:t>
            </w:r>
            <w:proofErr w:type="gramEnd"/>
            <w:r>
              <w:t xml:space="preserve"> </w:t>
            </w:r>
            <w:r w:rsidR="00295A73">
              <w:t xml:space="preserve">Deciduous forests - areas dominated by trees generally greater than 5 meters tall, and greater than 20perc. </w:t>
            </w:r>
            <w:proofErr w:type="gramStart"/>
            <w:r w:rsidR="00295A73">
              <w:t>of</w:t>
            </w:r>
            <w:proofErr w:type="gramEnd"/>
            <w:r w:rsidR="00295A73">
              <w:t xml:space="preserve"> total vegetation cover. More than 75perc. </w:t>
            </w:r>
            <w:proofErr w:type="gramStart"/>
            <w:r w:rsidR="00295A73">
              <w:t>of</w:t>
            </w:r>
            <w:proofErr w:type="gramEnd"/>
            <w:r w:rsidR="00295A73">
              <w:t xml:space="preserve"> the tree species shed foliage simultaneously in response to seasonal change.</w:t>
            </w:r>
          </w:p>
        </w:tc>
        <w:tc>
          <w:tcPr>
            <w:tcW w:w="810" w:type="dxa"/>
            <w:noWrap/>
            <w:hideMark/>
          </w:tcPr>
          <w:p w14:paraId="05B27C45" w14:textId="77777777" w:rsidR="00295A73" w:rsidRPr="00B76302" w:rsidRDefault="00295A73" w:rsidP="00BD0ECF">
            <w:r w:rsidRPr="00B76302">
              <w:t>5.6 (9.9)</w:t>
            </w:r>
          </w:p>
        </w:tc>
        <w:tc>
          <w:tcPr>
            <w:tcW w:w="810" w:type="dxa"/>
          </w:tcPr>
          <w:p w14:paraId="7A97B133" w14:textId="77777777" w:rsidR="00295A73" w:rsidRPr="00B76302" w:rsidRDefault="00295A73" w:rsidP="00BD0ECF">
            <w:r w:rsidRPr="00B76302">
              <w:t>31.6 (18.0)</w:t>
            </w:r>
          </w:p>
        </w:tc>
        <w:tc>
          <w:tcPr>
            <w:tcW w:w="810" w:type="dxa"/>
            <w:noWrap/>
            <w:hideMark/>
          </w:tcPr>
          <w:p w14:paraId="038F910B" w14:textId="77777777" w:rsidR="00295A73" w:rsidRPr="00B76302" w:rsidRDefault="00295A73" w:rsidP="00BD0ECF">
            <w:r w:rsidRPr="00B76302">
              <w:t>14.2 (12.5)</w:t>
            </w:r>
          </w:p>
        </w:tc>
        <w:tc>
          <w:tcPr>
            <w:tcW w:w="810" w:type="dxa"/>
            <w:noWrap/>
            <w:hideMark/>
          </w:tcPr>
          <w:p w14:paraId="0EC0458A" w14:textId="77777777" w:rsidR="00295A73" w:rsidRPr="00B76302" w:rsidRDefault="00295A73" w:rsidP="00BD0ECF">
            <w:r w:rsidRPr="00B76302">
              <w:t>19.3 (14.5)</w:t>
            </w:r>
          </w:p>
        </w:tc>
        <w:tc>
          <w:tcPr>
            <w:tcW w:w="990" w:type="dxa"/>
          </w:tcPr>
          <w:p w14:paraId="3CDE903F" w14:textId="77777777" w:rsidR="00295A73" w:rsidRPr="00B76302" w:rsidRDefault="00295A73" w:rsidP="00BD0ECF">
            <w:r w:rsidRPr="00B76302">
              <w:t>25.5 (17.3)</w:t>
            </w:r>
          </w:p>
        </w:tc>
        <w:tc>
          <w:tcPr>
            <w:tcW w:w="810" w:type="dxa"/>
          </w:tcPr>
          <w:p w14:paraId="5EBB2614" w14:textId="77777777" w:rsidR="00295A73" w:rsidRPr="00B76302" w:rsidRDefault="00295A73" w:rsidP="00BD0ECF">
            <w:r w:rsidRPr="00B76302">
              <w:t>27.6 (16.9)</w:t>
            </w:r>
          </w:p>
        </w:tc>
        <w:tc>
          <w:tcPr>
            <w:tcW w:w="900" w:type="dxa"/>
            <w:noWrap/>
          </w:tcPr>
          <w:p w14:paraId="53EFFC5A" w14:textId="77777777" w:rsidR="00295A73" w:rsidRDefault="00295A73" w:rsidP="00BD0ECF">
            <w:r w:rsidRPr="00B76302">
              <w:t>31.6 (18.0)</w:t>
            </w:r>
          </w:p>
        </w:tc>
      </w:tr>
      <w:tr w:rsidR="00295A73" w:rsidRPr="007E44FC" w14:paraId="5F965B7A" w14:textId="77777777" w:rsidTr="631A1B11">
        <w:trPr>
          <w:trHeight w:val="575"/>
        </w:trPr>
        <w:tc>
          <w:tcPr>
            <w:tcW w:w="1795" w:type="dxa"/>
          </w:tcPr>
          <w:p w14:paraId="1EC1311B" w14:textId="77777777" w:rsidR="00295A73" w:rsidRPr="007E44FC" w:rsidRDefault="00295A73" w:rsidP="00BD0ECF">
            <w:proofErr w:type="spellStart"/>
            <w:r>
              <w:t>forestever</w:t>
            </w:r>
            <w:proofErr w:type="spellEnd"/>
          </w:p>
        </w:tc>
        <w:tc>
          <w:tcPr>
            <w:tcW w:w="3960" w:type="dxa"/>
          </w:tcPr>
          <w:p w14:paraId="7DB839F6" w14:textId="16C8A1D0" w:rsidR="00295A73" w:rsidRPr="007E44FC" w:rsidRDefault="631A1B11" w:rsidP="00BD0ECF">
            <w:proofErr w:type="gramStart"/>
            <w:r>
              <w:t>percentage</w:t>
            </w:r>
            <w:proofErr w:type="gramEnd"/>
            <w:r>
              <w:t xml:space="preserve"> </w:t>
            </w:r>
            <w:r w:rsidR="00295A73">
              <w:t xml:space="preserve">Evergreen forests - areas dominated by trees generally greater than 5 meters tall, and greater than 20perc. </w:t>
            </w:r>
            <w:proofErr w:type="gramStart"/>
            <w:r w:rsidR="00295A73">
              <w:t>of</w:t>
            </w:r>
            <w:proofErr w:type="gramEnd"/>
            <w:r w:rsidR="00295A73">
              <w:t xml:space="preserve"> total vegetation cover. More than 75perc. </w:t>
            </w:r>
            <w:proofErr w:type="gramStart"/>
            <w:r w:rsidR="00295A73">
              <w:t>of</w:t>
            </w:r>
            <w:proofErr w:type="gramEnd"/>
            <w:r w:rsidR="00295A73">
              <w:t xml:space="preserve"> the tree species maintain their leaves all year. Canopy is never without green foliage.</w:t>
            </w:r>
          </w:p>
        </w:tc>
        <w:tc>
          <w:tcPr>
            <w:tcW w:w="810" w:type="dxa"/>
            <w:noWrap/>
          </w:tcPr>
          <w:p w14:paraId="7AB89582" w14:textId="77777777" w:rsidR="00295A73" w:rsidRPr="00D77827" w:rsidRDefault="00295A73" w:rsidP="00BD0ECF">
            <w:r w:rsidRPr="00D77827">
              <w:t>1.9 (7.1)</w:t>
            </w:r>
          </w:p>
        </w:tc>
        <w:tc>
          <w:tcPr>
            <w:tcW w:w="810" w:type="dxa"/>
          </w:tcPr>
          <w:p w14:paraId="490D292C" w14:textId="77777777" w:rsidR="00295A73" w:rsidRPr="00D77827" w:rsidRDefault="00295A73" w:rsidP="00BD0ECF">
            <w:r w:rsidRPr="00D77827">
              <w:t>6.8 (12.7)</w:t>
            </w:r>
          </w:p>
        </w:tc>
        <w:tc>
          <w:tcPr>
            <w:tcW w:w="810" w:type="dxa"/>
            <w:noWrap/>
          </w:tcPr>
          <w:p w14:paraId="0BE15322" w14:textId="77777777" w:rsidR="00295A73" w:rsidRPr="00D77827" w:rsidRDefault="00295A73" w:rsidP="00BD0ECF">
            <w:r w:rsidRPr="00D77827">
              <w:t>4.4 (11.0)</w:t>
            </w:r>
          </w:p>
        </w:tc>
        <w:tc>
          <w:tcPr>
            <w:tcW w:w="810" w:type="dxa"/>
            <w:noWrap/>
          </w:tcPr>
          <w:p w14:paraId="4F2A2D48" w14:textId="77777777" w:rsidR="00295A73" w:rsidRPr="00D77827" w:rsidRDefault="00295A73" w:rsidP="00BD0ECF">
            <w:r w:rsidRPr="00D77827">
              <w:t>5.4 (11.6)</w:t>
            </w:r>
          </w:p>
        </w:tc>
        <w:tc>
          <w:tcPr>
            <w:tcW w:w="990" w:type="dxa"/>
          </w:tcPr>
          <w:p w14:paraId="72DCEC7D" w14:textId="77777777" w:rsidR="00295A73" w:rsidRPr="00D77827" w:rsidRDefault="00295A73" w:rsidP="00BD0ECF">
            <w:r w:rsidRPr="00D77827">
              <w:t>6.7 (13.4)</w:t>
            </w:r>
          </w:p>
        </w:tc>
        <w:tc>
          <w:tcPr>
            <w:tcW w:w="810" w:type="dxa"/>
          </w:tcPr>
          <w:p w14:paraId="19074924" w14:textId="77777777" w:rsidR="00295A73" w:rsidRPr="00D77827" w:rsidRDefault="00295A73" w:rsidP="00BD0ECF">
            <w:r w:rsidRPr="00D77827">
              <w:t>6.8 (12.7)</w:t>
            </w:r>
          </w:p>
        </w:tc>
        <w:tc>
          <w:tcPr>
            <w:tcW w:w="900" w:type="dxa"/>
            <w:noWrap/>
          </w:tcPr>
          <w:p w14:paraId="234FCDA9" w14:textId="77777777" w:rsidR="00295A73" w:rsidRDefault="00295A73" w:rsidP="00BD0ECF">
            <w:r w:rsidRPr="00D77827">
              <w:t>6.8 (12.7)</w:t>
            </w:r>
          </w:p>
        </w:tc>
      </w:tr>
      <w:tr w:rsidR="00295A73" w:rsidRPr="007E44FC" w14:paraId="52366CAE" w14:textId="77777777" w:rsidTr="631A1B11">
        <w:trPr>
          <w:trHeight w:val="665"/>
        </w:trPr>
        <w:tc>
          <w:tcPr>
            <w:tcW w:w="1795" w:type="dxa"/>
          </w:tcPr>
          <w:p w14:paraId="73CA7E5D" w14:textId="77777777" w:rsidR="00295A73" w:rsidRPr="007E44FC" w:rsidRDefault="00295A73" w:rsidP="00BD0ECF">
            <w:proofErr w:type="spellStart"/>
            <w:r>
              <w:t>forestother</w:t>
            </w:r>
            <w:proofErr w:type="spellEnd"/>
          </w:p>
        </w:tc>
        <w:tc>
          <w:tcPr>
            <w:tcW w:w="3960" w:type="dxa"/>
          </w:tcPr>
          <w:p w14:paraId="1E941EBB" w14:textId="40D80664" w:rsidR="00295A73" w:rsidRPr="007E44FC" w:rsidRDefault="631A1B11" w:rsidP="00BD0ECF">
            <w:r>
              <w:t xml:space="preserve">percentage </w:t>
            </w:r>
            <w:r w:rsidR="00295A73" w:rsidRPr="007E44FC">
              <w:t xml:space="preserve">all </w:t>
            </w:r>
            <w:r w:rsidR="00295A73">
              <w:t xml:space="preserve">other </w:t>
            </w:r>
            <w:r w:rsidR="00295A73" w:rsidRPr="007E44FC">
              <w:t>natural habitat types</w:t>
            </w:r>
          </w:p>
        </w:tc>
        <w:tc>
          <w:tcPr>
            <w:tcW w:w="810" w:type="dxa"/>
            <w:noWrap/>
          </w:tcPr>
          <w:p w14:paraId="02F6DD6A" w14:textId="77777777" w:rsidR="00295A73" w:rsidRPr="005F79EA" w:rsidRDefault="00295A73" w:rsidP="00BD0ECF">
            <w:r w:rsidRPr="005F79EA">
              <w:t>7.7 (13.3)</w:t>
            </w:r>
          </w:p>
        </w:tc>
        <w:tc>
          <w:tcPr>
            <w:tcW w:w="810" w:type="dxa"/>
          </w:tcPr>
          <w:p w14:paraId="773F56A6" w14:textId="77777777" w:rsidR="00295A73" w:rsidRPr="005F79EA" w:rsidRDefault="00295A73" w:rsidP="00BD0ECF">
            <w:r w:rsidRPr="005F79EA">
              <w:t>10.0 (15.6)</w:t>
            </w:r>
          </w:p>
        </w:tc>
        <w:tc>
          <w:tcPr>
            <w:tcW w:w="810" w:type="dxa"/>
            <w:noWrap/>
          </w:tcPr>
          <w:p w14:paraId="12E0CB8A" w14:textId="77777777" w:rsidR="00295A73" w:rsidRPr="005F79EA" w:rsidRDefault="00295A73" w:rsidP="00BD0ECF">
            <w:r w:rsidRPr="005F79EA">
              <w:t>5.6 (10.7)</w:t>
            </w:r>
          </w:p>
        </w:tc>
        <w:tc>
          <w:tcPr>
            <w:tcW w:w="810" w:type="dxa"/>
            <w:noWrap/>
          </w:tcPr>
          <w:p w14:paraId="37EF6A49" w14:textId="77777777" w:rsidR="00295A73" w:rsidRPr="005F79EA" w:rsidRDefault="00295A73" w:rsidP="00BD0ECF">
            <w:r w:rsidRPr="005F79EA">
              <w:t>7.8 (13.8)</w:t>
            </w:r>
          </w:p>
        </w:tc>
        <w:tc>
          <w:tcPr>
            <w:tcW w:w="990" w:type="dxa"/>
          </w:tcPr>
          <w:p w14:paraId="2642DF68" w14:textId="77777777" w:rsidR="00295A73" w:rsidRPr="005F79EA" w:rsidRDefault="00295A73" w:rsidP="00BD0ECF">
            <w:r w:rsidRPr="005F79EA">
              <w:t>9.6 (16.9)</w:t>
            </w:r>
          </w:p>
        </w:tc>
        <w:tc>
          <w:tcPr>
            <w:tcW w:w="810" w:type="dxa"/>
          </w:tcPr>
          <w:p w14:paraId="56938113" w14:textId="77777777" w:rsidR="00295A73" w:rsidRPr="005F79EA" w:rsidRDefault="00295A73" w:rsidP="00BD0ECF">
            <w:r w:rsidRPr="005F79EA">
              <w:t>9.5 (15.1)</w:t>
            </w:r>
          </w:p>
        </w:tc>
        <w:tc>
          <w:tcPr>
            <w:tcW w:w="900" w:type="dxa"/>
            <w:noWrap/>
          </w:tcPr>
          <w:p w14:paraId="2C3FD4B0" w14:textId="77777777" w:rsidR="00295A73" w:rsidRDefault="00295A73" w:rsidP="00BD0ECF">
            <w:r w:rsidRPr="005F79EA">
              <w:t>10.0 (15.6)</w:t>
            </w:r>
          </w:p>
        </w:tc>
      </w:tr>
      <w:tr w:rsidR="00295A73" w:rsidRPr="007E44FC" w14:paraId="35B731D8" w14:textId="77777777" w:rsidTr="631A1B11">
        <w:trPr>
          <w:trHeight w:val="1260"/>
        </w:trPr>
        <w:tc>
          <w:tcPr>
            <w:tcW w:w="1795" w:type="dxa"/>
          </w:tcPr>
          <w:p w14:paraId="489AB534" w14:textId="77777777" w:rsidR="00295A73" w:rsidRPr="007E44FC" w:rsidRDefault="00295A73" w:rsidP="00BD0ECF">
            <w:proofErr w:type="spellStart"/>
            <w:r>
              <w:t>develophigh</w:t>
            </w:r>
            <w:proofErr w:type="spellEnd"/>
          </w:p>
        </w:tc>
        <w:tc>
          <w:tcPr>
            <w:tcW w:w="3960" w:type="dxa"/>
          </w:tcPr>
          <w:p w14:paraId="15144470" w14:textId="59929E6B" w:rsidR="00295A73" w:rsidRPr="007E44FC" w:rsidRDefault="631A1B11" w:rsidP="00BD0ECF">
            <w:proofErr w:type="gramStart"/>
            <w:r>
              <w:t>percentage</w:t>
            </w:r>
            <w:proofErr w:type="gramEnd"/>
            <w:r>
              <w:t xml:space="preserve"> </w:t>
            </w:r>
            <w:r w:rsidR="00295A73">
              <w:t>Highly</w:t>
            </w:r>
            <w:r w:rsidR="00295A73" w:rsidRPr="007E44FC">
              <w:t xml:space="preserve"> develop</w:t>
            </w:r>
            <w:r w:rsidR="00295A73">
              <w:t>ed areas. Includes</w:t>
            </w:r>
            <w:r w:rsidR="00295A73" w:rsidRPr="007E44FC">
              <w:t xml:space="preserve"> residential / work areas with impervious surfaces &lt; 80 </w:t>
            </w:r>
            <w:proofErr w:type="spellStart"/>
            <w:r w:rsidR="00295A73">
              <w:t>perc</w:t>
            </w:r>
            <w:proofErr w:type="spellEnd"/>
            <w:r w:rsidR="00295A73">
              <w:t>.</w:t>
            </w:r>
            <w:r w:rsidR="00295A73" w:rsidRPr="007E44FC">
              <w:t xml:space="preserve"> </w:t>
            </w:r>
            <w:proofErr w:type="gramStart"/>
            <w:r w:rsidR="00295A73" w:rsidRPr="007E44FC">
              <w:t>of</w:t>
            </w:r>
            <w:proofErr w:type="gramEnd"/>
            <w:r w:rsidR="00295A73" w:rsidRPr="007E44FC">
              <w:t xml:space="preserve"> total area. Examples include apartment </w:t>
            </w:r>
            <w:r w:rsidR="00295A73" w:rsidRPr="007E44FC">
              <w:lastRenderedPageBreak/>
              <w:t>complexes, row houses and commercial/industrial.</w:t>
            </w:r>
          </w:p>
        </w:tc>
        <w:tc>
          <w:tcPr>
            <w:tcW w:w="810" w:type="dxa"/>
            <w:noWrap/>
          </w:tcPr>
          <w:p w14:paraId="18E7BA31" w14:textId="77777777" w:rsidR="00295A73" w:rsidRPr="006B1EEB" w:rsidRDefault="00295A73" w:rsidP="00BD0ECF">
            <w:r w:rsidRPr="006B1EEB">
              <w:lastRenderedPageBreak/>
              <w:t>0.1 (0.9)</w:t>
            </w:r>
          </w:p>
        </w:tc>
        <w:tc>
          <w:tcPr>
            <w:tcW w:w="810" w:type="dxa"/>
          </w:tcPr>
          <w:p w14:paraId="49C2A695" w14:textId="77777777" w:rsidR="00295A73" w:rsidRPr="006B1EEB" w:rsidRDefault="00295A73" w:rsidP="00BD0ECF">
            <w:r w:rsidRPr="006B1EEB">
              <w:t>26.2 (41.9)</w:t>
            </w:r>
          </w:p>
        </w:tc>
        <w:tc>
          <w:tcPr>
            <w:tcW w:w="810" w:type="dxa"/>
            <w:noWrap/>
          </w:tcPr>
          <w:p w14:paraId="737A37FB" w14:textId="77777777" w:rsidR="00295A73" w:rsidRPr="006B1EEB" w:rsidRDefault="00295A73" w:rsidP="00BD0ECF">
            <w:r w:rsidRPr="006B1EEB">
              <w:t>0.1 (0.4)</w:t>
            </w:r>
          </w:p>
        </w:tc>
        <w:tc>
          <w:tcPr>
            <w:tcW w:w="810" w:type="dxa"/>
            <w:noWrap/>
          </w:tcPr>
          <w:p w14:paraId="34276140" w14:textId="77777777" w:rsidR="00295A73" w:rsidRPr="006B1EEB" w:rsidRDefault="00295A73" w:rsidP="00BD0ECF">
            <w:r w:rsidRPr="006B1EEB">
              <w:t>0.1 (0.7)</w:t>
            </w:r>
          </w:p>
        </w:tc>
        <w:tc>
          <w:tcPr>
            <w:tcW w:w="990" w:type="dxa"/>
          </w:tcPr>
          <w:p w14:paraId="2035DC37" w14:textId="77777777" w:rsidR="00295A73" w:rsidRPr="006B1EEB" w:rsidRDefault="00295A73" w:rsidP="00BD0ECF">
            <w:r w:rsidRPr="006B1EEB">
              <w:t>0.2 (0.8)</w:t>
            </w:r>
          </w:p>
        </w:tc>
        <w:tc>
          <w:tcPr>
            <w:tcW w:w="810" w:type="dxa"/>
          </w:tcPr>
          <w:p w14:paraId="24514FB7" w14:textId="77777777" w:rsidR="00295A73" w:rsidRPr="006B1EEB" w:rsidRDefault="00295A73" w:rsidP="00BD0ECF">
            <w:r w:rsidRPr="006B1EEB">
              <w:t>0.2 (0.6)</w:t>
            </w:r>
          </w:p>
        </w:tc>
        <w:tc>
          <w:tcPr>
            <w:tcW w:w="900" w:type="dxa"/>
            <w:noWrap/>
          </w:tcPr>
          <w:p w14:paraId="5DA23A57" w14:textId="77777777" w:rsidR="00295A73" w:rsidRDefault="00295A73" w:rsidP="00BD0ECF">
            <w:r w:rsidRPr="006B1EEB">
              <w:t>0.3 (0.4)</w:t>
            </w:r>
          </w:p>
        </w:tc>
      </w:tr>
      <w:tr w:rsidR="00295A73" w:rsidRPr="007E44FC" w14:paraId="4E09C9DF" w14:textId="77777777" w:rsidTr="631A1B11">
        <w:trPr>
          <w:trHeight w:val="1260"/>
        </w:trPr>
        <w:tc>
          <w:tcPr>
            <w:tcW w:w="1795" w:type="dxa"/>
            <w:hideMark/>
          </w:tcPr>
          <w:p w14:paraId="2FC05C1C" w14:textId="77777777" w:rsidR="00295A73" w:rsidRPr="007E44FC" w:rsidRDefault="00295A73" w:rsidP="00BD0ECF">
            <w:proofErr w:type="spellStart"/>
            <w:r>
              <w:lastRenderedPageBreak/>
              <w:t>developmedium</w:t>
            </w:r>
            <w:proofErr w:type="spellEnd"/>
          </w:p>
        </w:tc>
        <w:tc>
          <w:tcPr>
            <w:tcW w:w="3960" w:type="dxa"/>
            <w:hideMark/>
          </w:tcPr>
          <w:p w14:paraId="65BF35CC" w14:textId="174F6ACF" w:rsidR="00295A73" w:rsidRPr="007E44FC" w:rsidRDefault="631A1B11" w:rsidP="00BD0ECF">
            <w:proofErr w:type="gramStart"/>
            <w:r>
              <w:t>percentage</w:t>
            </w:r>
            <w:proofErr w:type="gramEnd"/>
            <w:r>
              <w:t xml:space="preserve"> </w:t>
            </w:r>
            <w:r w:rsidR="00295A73">
              <w:t xml:space="preserve">medium developed areas. Mix of </w:t>
            </w:r>
            <w:r w:rsidR="00295A73" w:rsidRPr="007E44FC">
              <w:t xml:space="preserve">constructed materials and vegetation. Impervious surfaces 50 - 79 </w:t>
            </w:r>
            <w:proofErr w:type="spellStart"/>
            <w:r w:rsidR="00295A73">
              <w:t>perc</w:t>
            </w:r>
            <w:proofErr w:type="spellEnd"/>
            <w:r w:rsidR="00295A73">
              <w:t>.</w:t>
            </w:r>
            <w:r w:rsidR="00295A73" w:rsidRPr="007E44FC">
              <w:t xml:space="preserve"> </w:t>
            </w:r>
            <w:proofErr w:type="gramStart"/>
            <w:r w:rsidR="00295A73" w:rsidRPr="007E44FC">
              <w:t>of</w:t>
            </w:r>
            <w:proofErr w:type="gramEnd"/>
            <w:r w:rsidR="00295A73" w:rsidRPr="007E44FC">
              <w:t xml:space="preserve"> total cover. Commonly single-family housing units</w:t>
            </w:r>
          </w:p>
        </w:tc>
        <w:tc>
          <w:tcPr>
            <w:tcW w:w="810" w:type="dxa"/>
            <w:noWrap/>
            <w:vAlign w:val="bottom"/>
            <w:hideMark/>
          </w:tcPr>
          <w:p w14:paraId="0A517599" w14:textId="77777777" w:rsidR="00295A73" w:rsidRPr="00881942" w:rsidRDefault="00295A73" w:rsidP="00BD0ECF">
            <w:r w:rsidRPr="00881942">
              <w:t>0.5 (2.7)</w:t>
            </w:r>
          </w:p>
        </w:tc>
        <w:tc>
          <w:tcPr>
            <w:tcW w:w="810" w:type="dxa"/>
            <w:vAlign w:val="bottom"/>
          </w:tcPr>
          <w:p w14:paraId="12C632D6" w14:textId="77777777" w:rsidR="00295A73" w:rsidRPr="00881942" w:rsidRDefault="00295A73" w:rsidP="00BD0ECF">
            <w:r w:rsidRPr="00881942">
              <w:t xml:space="preserve">86.4 (88.5) </w:t>
            </w:r>
          </w:p>
        </w:tc>
        <w:tc>
          <w:tcPr>
            <w:tcW w:w="810" w:type="dxa"/>
            <w:noWrap/>
            <w:vAlign w:val="bottom"/>
            <w:hideMark/>
          </w:tcPr>
          <w:p w14:paraId="37D8CB09" w14:textId="77777777" w:rsidR="00295A73" w:rsidRPr="00881942" w:rsidRDefault="00295A73" w:rsidP="00BD0ECF">
            <w:r w:rsidRPr="00881942">
              <w:t>0.5 (1.6)</w:t>
            </w:r>
          </w:p>
        </w:tc>
        <w:tc>
          <w:tcPr>
            <w:tcW w:w="810" w:type="dxa"/>
            <w:noWrap/>
            <w:vAlign w:val="bottom"/>
            <w:hideMark/>
          </w:tcPr>
          <w:p w14:paraId="12D538E5" w14:textId="77777777" w:rsidR="00295A73" w:rsidRPr="00881942" w:rsidRDefault="00295A73" w:rsidP="00BD0ECF">
            <w:r w:rsidRPr="00881942">
              <w:t>0.5 (1.4)</w:t>
            </w:r>
          </w:p>
        </w:tc>
        <w:tc>
          <w:tcPr>
            <w:tcW w:w="990" w:type="dxa"/>
            <w:vAlign w:val="bottom"/>
          </w:tcPr>
          <w:p w14:paraId="049831B4" w14:textId="77777777" w:rsidR="00295A73" w:rsidRPr="00881942" w:rsidRDefault="00295A73" w:rsidP="00BD0ECF">
            <w:r w:rsidRPr="00881942">
              <w:t>0.6 (1.5)</w:t>
            </w:r>
          </w:p>
        </w:tc>
        <w:tc>
          <w:tcPr>
            <w:tcW w:w="810" w:type="dxa"/>
            <w:vAlign w:val="bottom"/>
          </w:tcPr>
          <w:p w14:paraId="3D24070C" w14:textId="77777777" w:rsidR="00295A73" w:rsidRPr="00881942" w:rsidRDefault="00295A73" w:rsidP="00BD0ECF">
            <w:r w:rsidRPr="00881942">
              <w:t>0.8 (1.5)</w:t>
            </w:r>
          </w:p>
        </w:tc>
        <w:tc>
          <w:tcPr>
            <w:tcW w:w="900" w:type="dxa"/>
            <w:noWrap/>
            <w:vAlign w:val="bottom"/>
          </w:tcPr>
          <w:p w14:paraId="45D56223" w14:textId="77777777" w:rsidR="00295A73" w:rsidRPr="00881942" w:rsidRDefault="00295A73" w:rsidP="00BD0ECF">
            <w:r w:rsidRPr="00881942">
              <w:t>0.9 (1.1)</w:t>
            </w:r>
          </w:p>
        </w:tc>
      </w:tr>
      <w:tr w:rsidR="00295A73" w:rsidRPr="007E44FC" w14:paraId="4D56852E" w14:textId="77777777" w:rsidTr="631A1B11">
        <w:trPr>
          <w:trHeight w:val="945"/>
        </w:trPr>
        <w:tc>
          <w:tcPr>
            <w:tcW w:w="1795" w:type="dxa"/>
            <w:hideMark/>
          </w:tcPr>
          <w:p w14:paraId="62F17673" w14:textId="77777777" w:rsidR="00295A73" w:rsidRPr="007E44FC" w:rsidRDefault="00295A73" w:rsidP="00BD0ECF">
            <w:proofErr w:type="spellStart"/>
            <w:r>
              <w:t>developlow</w:t>
            </w:r>
            <w:proofErr w:type="spellEnd"/>
          </w:p>
        </w:tc>
        <w:tc>
          <w:tcPr>
            <w:tcW w:w="3960" w:type="dxa"/>
            <w:hideMark/>
          </w:tcPr>
          <w:p w14:paraId="701B2097" w14:textId="693FCAAF" w:rsidR="00295A73" w:rsidRPr="007E44FC" w:rsidRDefault="631A1B11" w:rsidP="00BD0ECF">
            <w:proofErr w:type="gramStart"/>
            <w:r>
              <w:t>percentage</w:t>
            </w:r>
            <w:proofErr w:type="gramEnd"/>
            <w:r>
              <w:t xml:space="preserve"> </w:t>
            </w:r>
            <w:r w:rsidR="00295A73">
              <w:t xml:space="preserve">low development areas. Mix of </w:t>
            </w:r>
            <w:r w:rsidR="00295A73" w:rsidRPr="007E44FC">
              <w:t xml:space="preserve">constructed materials and vegetation. Impervious surfaces 20 - 49 </w:t>
            </w:r>
            <w:proofErr w:type="spellStart"/>
            <w:r w:rsidR="00295A73">
              <w:t>perc</w:t>
            </w:r>
            <w:proofErr w:type="spellEnd"/>
            <w:r w:rsidR="00295A73">
              <w:t>.</w:t>
            </w:r>
            <w:r w:rsidR="00295A73" w:rsidRPr="007E44FC">
              <w:t xml:space="preserve"> </w:t>
            </w:r>
            <w:proofErr w:type="gramStart"/>
            <w:r w:rsidR="00295A73" w:rsidRPr="007E44FC">
              <w:t>of</w:t>
            </w:r>
            <w:proofErr w:type="gramEnd"/>
            <w:r w:rsidR="00295A73" w:rsidRPr="007E44FC">
              <w:t xml:space="preserve"> total cover. Commonly single-family housing units</w:t>
            </w:r>
          </w:p>
        </w:tc>
        <w:tc>
          <w:tcPr>
            <w:tcW w:w="810" w:type="dxa"/>
            <w:noWrap/>
            <w:hideMark/>
          </w:tcPr>
          <w:p w14:paraId="4E173563" w14:textId="77777777" w:rsidR="00295A73" w:rsidRPr="00ED3A48" w:rsidRDefault="00295A73" w:rsidP="00BD0ECF">
            <w:r w:rsidRPr="00ED3A48">
              <w:t>5.4 (9.8)</w:t>
            </w:r>
          </w:p>
        </w:tc>
        <w:tc>
          <w:tcPr>
            <w:tcW w:w="810" w:type="dxa"/>
          </w:tcPr>
          <w:p w14:paraId="4B89F708" w14:textId="77777777" w:rsidR="00295A73" w:rsidRPr="00ED3A48" w:rsidRDefault="00295A73" w:rsidP="00BD0ECF">
            <w:r w:rsidRPr="00ED3A48">
              <w:t>3.0 (3.0)</w:t>
            </w:r>
          </w:p>
        </w:tc>
        <w:tc>
          <w:tcPr>
            <w:tcW w:w="810" w:type="dxa"/>
            <w:noWrap/>
            <w:hideMark/>
          </w:tcPr>
          <w:p w14:paraId="756A7200" w14:textId="77777777" w:rsidR="00295A73" w:rsidRPr="00ED3A48" w:rsidRDefault="00295A73" w:rsidP="00BD0ECF">
            <w:r w:rsidRPr="00ED3A48">
              <w:t>2.5 (4.8)</w:t>
            </w:r>
          </w:p>
        </w:tc>
        <w:tc>
          <w:tcPr>
            <w:tcW w:w="810" w:type="dxa"/>
            <w:noWrap/>
            <w:hideMark/>
          </w:tcPr>
          <w:p w14:paraId="400D5C34" w14:textId="77777777" w:rsidR="00295A73" w:rsidRPr="00ED3A48" w:rsidRDefault="00295A73" w:rsidP="00BD0ECF">
            <w:r w:rsidRPr="00ED3A48">
              <w:t>2.4 (4.4)</w:t>
            </w:r>
          </w:p>
        </w:tc>
        <w:tc>
          <w:tcPr>
            <w:tcW w:w="990" w:type="dxa"/>
          </w:tcPr>
          <w:p w14:paraId="2F963868" w14:textId="77777777" w:rsidR="00295A73" w:rsidRPr="00ED3A48" w:rsidRDefault="00295A73" w:rsidP="00BD0ECF">
            <w:r w:rsidRPr="00ED3A48">
              <w:t>2.5 (4.0)</w:t>
            </w:r>
          </w:p>
        </w:tc>
        <w:tc>
          <w:tcPr>
            <w:tcW w:w="810" w:type="dxa"/>
          </w:tcPr>
          <w:p w14:paraId="0E73259E" w14:textId="77777777" w:rsidR="00295A73" w:rsidRPr="00ED3A48" w:rsidRDefault="00295A73" w:rsidP="00BD0ECF">
            <w:r w:rsidRPr="00ED3A48">
              <w:t>2.8 (3.8)</w:t>
            </w:r>
          </w:p>
        </w:tc>
        <w:tc>
          <w:tcPr>
            <w:tcW w:w="900" w:type="dxa"/>
            <w:noWrap/>
          </w:tcPr>
          <w:p w14:paraId="67B6E5A9" w14:textId="77777777" w:rsidR="00295A73" w:rsidRDefault="00295A73" w:rsidP="00BD0ECF">
            <w:r w:rsidRPr="00ED3A48">
              <w:t>3.0 (3.0)</w:t>
            </w:r>
          </w:p>
        </w:tc>
      </w:tr>
      <w:tr w:rsidR="00295A73" w:rsidRPr="007E44FC" w14:paraId="4BA026C1" w14:textId="77777777" w:rsidTr="631A1B11">
        <w:trPr>
          <w:trHeight w:val="945"/>
        </w:trPr>
        <w:tc>
          <w:tcPr>
            <w:tcW w:w="1795" w:type="dxa"/>
            <w:hideMark/>
          </w:tcPr>
          <w:p w14:paraId="687D6621" w14:textId="77777777" w:rsidR="00295A73" w:rsidRPr="007E44FC" w:rsidRDefault="00295A73" w:rsidP="00BD0ECF">
            <w:proofErr w:type="spellStart"/>
            <w:r>
              <w:t>developop</w:t>
            </w:r>
            <w:r w:rsidRPr="007E44FC">
              <w:t>en</w:t>
            </w:r>
            <w:proofErr w:type="spellEnd"/>
            <w:r w:rsidRPr="007E44FC">
              <w:t xml:space="preserve"> </w:t>
            </w:r>
          </w:p>
        </w:tc>
        <w:tc>
          <w:tcPr>
            <w:tcW w:w="3960" w:type="dxa"/>
            <w:hideMark/>
          </w:tcPr>
          <w:p w14:paraId="664B0F2B" w14:textId="43332F62" w:rsidR="00295A73" w:rsidRPr="007E44FC" w:rsidRDefault="631A1B11" w:rsidP="00BD0ECF">
            <w:proofErr w:type="gramStart"/>
            <w:r>
              <w:t>percentage</w:t>
            </w:r>
            <w:proofErr w:type="gramEnd"/>
            <w:r>
              <w:t xml:space="preserve"> </w:t>
            </w:r>
            <w:r w:rsidR="00295A73">
              <w:t>developed open areas.</w:t>
            </w:r>
            <w:r w:rsidR="00295A73" w:rsidRPr="007E44FC">
              <w:t xml:space="preserve"> Some constructed materials, but mostly vegetation in the form of lawn grasses. Impervious surfaces &lt; 20 </w:t>
            </w:r>
            <w:proofErr w:type="spellStart"/>
            <w:r w:rsidR="00295A73">
              <w:t>perc</w:t>
            </w:r>
            <w:proofErr w:type="spellEnd"/>
            <w:r w:rsidR="00295A73">
              <w:t>.</w:t>
            </w:r>
            <w:r w:rsidR="00295A73" w:rsidRPr="007E44FC">
              <w:t xml:space="preserve"> </w:t>
            </w:r>
            <w:proofErr w:type="gramStart"/>
            <w:r w:rsidR="00295A73" w:rsidRPr="007E44FC">
              <w:t>of</w:t>
            </w:r>
            <w:proofErr w:type="gramEnd"/>
            <w:r w:rsidR="00295A73" w:rsidRPr="007E44FC">
              <w:t xml:space="preserve"> total cover. Commonly include large-lot single-family housing units, vegetation planted in developed settings </w:t>
            </w:r>
          </w:p>
        </w:tc>
        <w:tc>
          <w:tcPr>
            <w:tcW w:w="810" w:type="dxa"/>
            <w:noWrap/>
            <w:hideMark/>
          </w:tcPr>
          <w:p w14:paraId="327B5164" w14:textId="77777777" w:rsidR="00295A73" w:rsidRPr="00D12826" w:rsidRDefault="00295A73" w:rsidP="00BD0ECF">
            <w:r w:rsidRPr="00D12826">
              <w:t>18.3 (14.7)</w:t>
            </w:r>
          </w:p>
        </w:tc>
        <w:tc>
          <w:tcPr>
            <w:tcW w:w="810" w:type="dxa"/>
          </w:tcPr>
          <w:p w14:paraId="1E38CA82" w14:textId="77777777" w:rsidR="00295A73" w:rsidRPr="00D12826" w:rsidRDefault="00295A73" w:rsidP="00BD0ECF">
            <w:r w:rsidRPr="00D12826">
              <w:t>7.2 (3.5)</w:t>
            </w:r>
          </w:p>
        </w:tc>
        <w:tc>
          <w:tcPr>
            <w:tcW w:w="810" w:type="dxa"/>
            <w:noWrap/>
            <w:hideMark/>
          </w:tcPr>
          <w:p w14:paraId="16FBA646" w14:textId="77777777" w:rsidR="00295A73" w:rsidRPr="00D12826" w:rsidRDefault="00295A73" w:rsidP="00BD0ECF">
            <w:r w:rsidRPr="00D12826">
              <w:t>8.3 (6.4)</w:t>
            </w:r>
          </w:p>
        </w:tc>
        <w:tc>
          <w:tcPr>
            <w:tcW w:w="810" w:type="dxa"/>
            <w:noWrap/>
            <w:hideMark/>
          </w:tcPr>
          <w:p w14:paraId="09ACECAB" w14:textId="77777777" w:rsidR="00295A73" w:rsidRPr="00D12826" w:rsidRDefault="00295A73" w:rsidP="00BD0ECF">
            <w:r w:rsidRPr="00D12826">
              <w:t>6.9 (4.7)</w:t>
            </w:r>
          </w:p>
        </w:tc>
        <w:tc>
          <w:tcPr>
            <w:tcW w:w="990" w:type="dxa"/>
          </w:tcPr>
          <w:p w14:paraId="64D07FC5" w14:textId="77777777" w:rsidR="00295A73" w:rsidRPr="00D12826" w:rsidRDefault="00295A73" w:rsidP="00BD0ECF">
            <w:r w:rsidRPr="00D12826">
              <w:t>6.8 (4.7)</w:t>
            </w:r>
          </w:p>
        </w:tc>
        <w:tc>
          <w:tcPr>
            <w:tcW w:w="810" w:type="dxa"/>
          </w:tcPr>
          <w:p w14:paraId="30F5EEED" w14:textId="77777777" w:rsidR="00295A73" w:rsidRPr="00D12826" w:rsidRDefault="00295A73" w:rsidP="00BD0ECF">
            <w:r w:rsidRPr="00D12826">
              <w:t>7.3 (4.3)</w:t>
            </w:r>
          </w:p>
        </w:tc>
        <w:tc>
          <w:tcPr>
            <w:tcW w:w="900" w:type="dxa"/>
            <w:noWrap/>
          </w:tcPr>
          <w:p w14:paraId="5592F130" w14:textId="77777777" w:rsidR="00295A73" w:rsidRDefault="00295A73" w:rsidP="00BD0ECF">
            <w:r w:rsidRPr="00D12826">
              <w:t>7.2 (3.5)</w:t>
            </w:r>
          </w:p>
        </w:tc>
      </w:tr>
    </w:tbl>
    <w:p w14:paraId="57B9F1E1" w14:textId="77777777" w:rsidR="00295A73" w:rsidRDefault="00295A73" w:rsidP="00295A73"/>
    <w:p w14:paraId="2EF45111" w14:textId="4580C079" w:rsidR="00385E7D" w:rsidRDefault="00295A73">
      <w:r>
        <w:t>Land use and crop acreage da</w:t>
      </w:r>
      <w:r w:rsidR="00685985">
        <w:t xml:space="preserve">ta </w:t>
      </w:r>
      <w:proofErr w:type="gramStart"/>
      <w:r w:rsidR="00685985">
        <w:t>were obtained</w:t>
      </w:r>
      <w:proofErr w:type="gramEnd"/>
      <w:r w:rsidR="00685985">
        <w:t xml:space="preserve"> from </w:t>
      </w:r>
      <w:proofErr w:type="spellStart"/>
      <w:r w:rsidR="00685985">
        <w:t>CropScape</w:t>
      </w:r>
      <w:proofErr w:type="spellEnd"/>
      <w:r w:rsidR="00685985">
        <w:t xml:space="preserve"> [46, 47]. </w:t>
      </w:r>
      <w:r>
        <w:t xml:space="preserve">More details on the crop data layers from </w:t>
      </w:r>
      <w:proofErr w:type="spellStart"/>
      <w:r>
        <w:t>CropScape</w:t>
      </w:r>
      <w:proofErr w:type="spellEnd"/>
      <w:r>
        <w:t xml:space="preserve"> </w:t>
      </w:r>
      <w:proofErr w:type="gramStart"/>
      <w:r>
        <w:t>are found</w:t>
      </w:r>
      <w:proofErr w:type="gramEnd"/>
      <w:r>
        <w:t xml:space="preserve"> in the metadata for each State (</w:t>
      </w:r>
      <w:hyperlink r:id="rId4" w:history="1">
        <w:r w:rsidRPr="00291F6C">
          <w:rPr>
            <w:rStyle w:val="Hyperlink"/>
          </w:rPr>
          <w:t>www.nass.usda.gov/research/Cropland/metadata/meta.htm</w:t>
        </w:r>
      </w:hyperlink>
      <w:r>
        <w:t xml:space="preserve">). The descriptions for other </w:t>
      </w:r>
      <w:proofErr w:type="gramStart"/>
      <w:r>
        <w:t>land use data layers</w:t>
      </w:r>
      <w:proofErr w:type="gramEnd"/>
      <w:r>
        <w:t xml:space="preserve"> (forest cover and developed areas) were obtained from </w:t>
      </w:r>
      <w:r w:rsidR="00685985">
        <w:t>National Land Cover Dataset (</w:t>
      </w:r>
      <w:r>
        <w:t>NLCD</w:t>
      </w:r>
      <w:r w:rsidR="00685985">
        <w:t>)</w:t>
      </w:r>
      <w:r>
        <w:t xml:space="preserve"> metadata (</w:t>
      </w:r>
      <w:hyperlink r:id="rId5" w:history="1">
        <w:r w:rsidRPr="00291F6C">
          <w:rPr>
            <w:rStyle w:val="Hyperlink"/>
          </w:rPr>
          <w:t>http://www.mrlc.gov/nlcd11_leg.php</w:t>
        </w:r>
      </w:hyperlink>
      <w:r>
        <w:t xml:space="preserve">). </w:t>
      </w:r>
      <w:bookmarkStart w:id="2" w:name="_GoBack"/>
      <w:bookmarkEnd w:id="2"/>
    </w:p>
    <w:sectPr w:rsidR="00385E7D" w:rsidSect="00295A7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73"/>
    <w:rsid w:val="00001687"/>
    <w:rsid w:val="00010497"/>
    <w:rsid w:val="000130E0"/>
    <w:rsid w:val="00014449"/>
    <w:rsid w:val="000148D9"/>
    <w:rsid w:val="00014F7E"/>
    <w:rsid w:val="00014FAE"/>
    <w:rsid w:val="000165A4"/>
    <w:rsid w:val="000200BE"/>
    <w:rsid w:val="00021948"/>
    <w:rsid w:val="000247C4"/>
    <w:rsid w:val="00024F8F"/>
    <w:rsid w:val="00025D58"/>
    <w:rsid w:val="00025DAB"/>
    <w:rsid w:val="00027CFD"/>
    <w:rsid w:val="00027DD2"/>
    <w:rsid w:val="0003012B"/>
    <w:rsid w:val="0003124E"/>
    <w:rsid w:val="00031431"/>
    <w:rsid w:val="00032D93"/>
    <w:rsid w:val="00034BB6"/>
    <w:rsid w:val="00034EBC"/>
    <w:rsid w:val="00037481"/>
    <w:rsid w:val="000426ED"/>
    <w:rsid w:val="00042B54"/>
    <w:rsid w:val="000448A9"/>
    <w:rsid w:val="0004543B"/>
    <w:rsid w:val="000454FB"/>
    <w:rsid w:val="0005606D"/>
    <w:rsid w:val="00064273"/>
    <w:rsid w:val="0006783E"/>
    <w:rsid w:val="0007011E"/>
    <w:rsid w:val="00070D11"/>
    <w:rsid w:val="00073881"/>
    <w:rsid w:val="000768A7"/>
    <w:rsid w:val="00076F9B"/>
    <w:rsid w:val="00080B28"/>
    <w:rsid w:val="000851A3"/>
    <w:rsid w:val="00085CC1"/>
    <w:rsid w:val="00086C3C"/>
    <w:rsid w:val="000879E2"/>
    <w:rsid w:val="0009094C"/>
    <w:rsid w:val="000920CD"/>
    <w:rsid w:val="00097C35"/>
    <w:rsid w:val="000A0654"/>
    <w:rsid w:val="000A4295"/>
    <w:rsid w:val="000A546B"/>
    <w:rsid w:val="000A7479"/>
    <w:rsid w:val="000B1639"/>
    <w:rsid w:val="000B2563"/>
    <w:rsid w:val="000B2FC4"/>
    <w:rsid w:val="000B6297"/>
    <w:rsid w:val="000B6F18"/>
    <w:rsid w:val="000C39C9"/>
    <w:rsid w:val="000C654E"/>
    <w:rsid w:val="000D0A7E"/>
    <w:rsid w:val="000D3D27"/>
    <w:rsid w:val="000E223F"/>
    <w:rsid w:val="000E3D17"/>
    <w:rsid w:val="000E7C3A"/>
    <w:rsid w:val="000F308D"/>
    <w:rsid w:val="000F37FD"/>
    <w:rsid w:val="000F6188"/>
    <w:rsid w:val="000F6D08"/>
    <w:rsid w:val="00101A6F"/>
    <w:rsid w:val="001021A7"/>
    <w:rsid w:val="001046EE"/>
    <w:rsid w:val="001060EC"/>
    <w:rsid w:val="0010694F"/>
    <w:rsid w:val="0010751D"/>
    <w:rsid w:val="001102CE"/>
    <w:rsid w:val="001107BB"/>
    <w:rsid w:val="00110EDA"/>
    <w:rsid w:val="0011190B"/>
    <w:rsid w:val="0011355F"/>
    <w:rsid w:val="001171B7"/>
    <w:rsid w:val="0012215E"/>
    <w:rsid w:val="00122932"/>
    <w:rsid w:val="00122FBB"/>
    <w:rsid w:val="0012400E"/>
    <w:rsid w:val="00126BB0"/>
    <w:rsid w:val="00130A97"/>
    <w:rsid w:val="001411A0"/>
    <w:rsid w:val="001508D2"/>
    <w:rsid w:val="00152950"/>
    <w:rsid w:val="00157104"/>
    <w:rsid w:val="0016275C"/>
    <w:rsid w:val="001662CB"/>
    <w:rsid w:val="00166526"/>
    <w:rsid w:val="0016710B"/>
    <w:rsid w:val="00175271"/>
    <w:rsid w:val="0017772D"/>
    <w:rsid w:val="00180379"/>
    <w:rsid w:val="00182773"/>
    <w:rsid w:val="00184CF4"/>
    <w:rsid w:val="00185B23"/>
    <w:rsid w:val="0019133E"/>
    <w:rsid w:val="0019197F"/>
    <w:rsid w:val="00192759"/>
    <w:rsid w:val="00194462"/>
    <w:rsid w:val="00195784"/>
    <w:rsid w:val="001A2159"/>
    <w:rsid w:val="001A4D30"/>
    <w:rsid w:val="001A72A9"/>
    <w:rsid w:val="001C39A7"/>
    <w:rsid w:val="001C4C92"/>
    <w:rsid w:val="001C58B3"/>
    <w:rsid w:val="001D09B2"/>
    <w:rsid w:val="001D2D37"/>
    <w:rsid w:val="001D5081"/>
    <w:rsid w:val="001E4479"/>
    <w:rsid w:val="001E6340"/>
    <w:rsid w:val="001F08F1"/>
    <w:rsid w:val="001F40E3"/>
    <w:rsid w:val="001F4641"/>
    <w:rsid w:val="001F68CF"/>
    <w:rsid w:val="001F7ED6"/>
    <w:rsid w:val="0020052A"/>
    <w:rsid w:val="00200738"/>
    <w:rsid w:val="002015E7"/>
    <w:rsid w:val="002024C9"/>
    <w:rsid w:val="00202EE2"/>
    <w:rsid w:val="002036E0"/>
    <w:rsid w:val="00204981"/>
    <w:rsid w:val="00205416"/>
    <w:rsid w:val="00205CC8"/>
    <w:rsid w:val="002107B7"/>
    <w:rsid w:val="00211BDC"/>
    <w:rsid w:val="002157B5"/>
    <w:rsid w:val="002206C2"/>
    <w:rsid w:val="0022679D"/>
    <w:rsid w:val="00226B5E"/>
    <w:rsid w:val="00230F52"/>
    <w:rsid w:val="00237FEA"/>
    <w:rsid w:val="0024142C"/>
    <w:rsid w:val="00242B68"/>
    <w:rsid w:val="00253F63"/>
    <w:rsid w:val="00257B4F"/>
    <w:rsid w:val="00260B88"/>
    <w:rsid w:val="00264BB1"/>
    <w:rsid w:val="00265CFB"/>
    <w:rsid w:val="00266A80"/>
    <w:rsid w:val="002753EA"/>
    <w:rsid w:val="002774B0"/>
    <w:rsid w:val="00277977"/>
    <w:rsid w:val="00277C6F"/>
    <w:rsid w:val="00286385"/>
    <w:rsid w:val="00287A25"/>
    <w:rsid w:val="00290BD2"/>
    <w:rsid w:val="00290D2B"/>
    <w:rsid w:val="00292819"/>
    <w:rsid w:val="002933B6"/>
    <w:rsid w:val="00295A73"/>
    <w:rsid w:val="002A0800"/>
    <w:rsid w:val="002A1E92"/>
    <w:rsid w:val="002A47C0"/>
    <w:rsid w:val="002A5EB2"/>
    <w:rsid w:val="002B42B7"/>
    <w:rsid w:val="002B533C"/>
    <w:rsid w:val="002B7958"/>
    <w:rsid w:val="002B79B0"/>
    <w:rsid w:val="002C2D2B"/>
    <w:rsid w:val="002C4BC3"/>
    <w:rsid w:val="002C6C78"/>
    <w:rsid w:val="002C74B4"/>
    <w:rsid w:val="002D0FDF"/>
    <w:rsid w:val="002D14F7"/>
    <w:rsid w:val="002D1A20"/>
    <w:rsid w:val="002D3A1C"/>
    <w:rsid w:val="002D4EC9"/>
    <w:rsid w:val="002E09E4"/>
    <w:rsid w:val="002E18C0"/>
    <w:rsid w:val="002F0CB5"/>
    <w:rsid w:val="002F38A6"/>
    <w:rsid w:val="002F42B7"/>
    <w:rsid w:val="002F582C"/>
    <w:rsid w:val="00300C4D"/>
    <w:rsid w:val="00301EB6"/>
    <w:rsid w:val="003025B3"/>
    <w:rsid w:val="0030303C"/>
    <w:rsid w:val="00307DDA"/>
    <w:rsid w:val="003108F5"/>
    <w:rsid w:val="003119EB"/>
    <w:rsid w:val="00314637"/>
    <w:rsid w:val="0031465B"/>
    <w:rsid w:val="00315286"/>
    <w:rsid w:val="00315ECA"/>
    <w:rsid w:val="00320D77"/>
    <w:rsid w:val="00322100"/>
    <w:rsid w:val="00323253"/>
    <w:rsid w:val="00323DF7"/>
    <w:rsid w:val="00326875"/>
    <w:rsid w:val="00331750"/>
    <w:rsid w:val="00336485"/>
    <w:rsid w:val="0034525F"/>
    <w:rsid w:val="00346619"/>
    <w:rsid w:val="003518E4"/>
    <w:rsid w:val="00354B98"/>
    <w:rsid w:val="00357D0F"/>
    <w:rsid w:val="003645BA"/>
    <w:rsid w:val="003722BE"/>
    <w:rsid w:val="003759A9"/>
    <w:rsid w:val="00377DD5"/>
    <w:rsid w:val="0038078D"/>
    <w:rsid w:val="0038160D"/>
    <w:rsid w:val="003827BC"/>
    <w:rsid w:val="00385E7D"/>
    <w:rsid w:val="0038606D"/>
    <w:rsid w:val="003947A1"/>
    <w:rsid w:val="00395012"/>
    <w:rsid w:val="003955FE"/>
    <w:rsid w:val="00396999"/>
    <w:rsid w:val="00397195"/>
    <w:rsid w:val="003A20B4"/>
    <w:rsid w:val="003A484A"/>
    <w:rsid w:val="003A536C"/>
    <w:rsid w:val="003A5ACA"/>
    <w:rsid w:val="003A6BB6"/>
    <w:rsid w:val="003B06A0"/>
    <w:rsid w:val="003B0AD1"/>
    <w:rsid w:val="003C2F32"/>
    <w:rsid w:val="003C34F6"/>
    <w:rsid w:val="003C699B"/>
    <w:rsid w:val="003D2087"/>
    <w:rsid w:val="003D3EE4"/>
    <w:rsid w:val="003D67DC"/>
    <w:rsid w:val="003D7A10"/>
    <w:rsid w:val="003F248B"/>
    <w:rsid w:val="00400885"/>
    <w:rsid w:val="004010AF"/>
    <w:rsid w:val="00401139"/>
    <w:rsid w:val="0040181B"/>
    <w:rsid w:val="00402F52"/>
    <w:rsid w:val="00404BDD"/>
    <w:rsid w:val="0041131F"/>
    <w:rsid w:val="004134B9"/>
    <w:rsid w:val="004134E4"/>
    <w:rsid w:val="00416A1F"/>
    <w:rsid w:val="00420C86"/>
    <w:rsid w:val="00421A96"/>
    <w:rsid w:val="004221C5"/>
    <w:rsid w:val="0042630C"/>
    <w:rsid w:val="00427D64"/>
    <w:rsid w:val="0043175C"/>
    <w:rsid w:val="004332DE"/>
    <w:rsid w:val="004362B2"/>
    <w:rsid w:val="004363CC"/>
    <w:rsid w:val="00437656"/>
    <w:rsid w:val="00440BB9"/>
    <w:rsid w:val="00443E09"/>
    <w:rsid w:val="00451C48"/>
    <w:rsid w:val="004550CA"/>
    <w:rsid w:val="00456AFB"/>
    <w:rsid w:val="00460C04"/>
    <w:rsid w:val="0046312F"/>
    <w:rsid w:val="004642C2"/>
    <w:rsid w:val="0046443A"/>
    <w:rsid w:val="00464782"/>
    <w:rsid w:val="00464F2C"/>
    <w:rsid w:val="004666C5"/>
    <w:rsid w:val="00472387"/>
    <w:rsid w:val="00472B17"/>
    <w:rsid w:val="0047413C"/>
    <w:rsid w:val="00475AA2"/>
    <w:rsid w:val="004832D6"/>
    <w:rsid w:val="00490000"/>
    <w:rsid w:val="00492D82"/>
    <w:rsid w:val="00494BBD"/>
    <w:rsid w:val="004A32DE"/>
    <w:rsid w:val="004B4C9C"/>
    <w:rsid w:val="004B53C6"/>
    <w:rsid w:val="004B66E3"/>
    <w:rsid w:val="004B78C5"/>
    <w:rsid w:val="004C4BE5"/>
    <w:rsid w:val="004C4C47"/>
    <w:rsid w:val="004D1429"/>
    <w:rsid w:val="004D16F4"/>
    <w:rsid w:val="004D3CDA"/>
    <w:rsid w:val="004D3E85"/>
    <w:rsid w:val="004D3F46"/>
    <w:rsid w:val="004E0056"/>
    <w:rsid w:val="004E4309"/>
    <w:rsid w:val="004E6FF5"/>
    <w:rsid w:val="004F1845"/>
    <w:rsid w:val="00506689"/>
    <w:rsid w:val="005104AF"/>
    <w:rsid w:val="00512B9B"/>
    <w:rsid w:val="00512CDB"/>
    <w:rsid w:val="0051569C"/>
    <w:rsid w:val="00517CDA"/>
    <w:rsid w:val="00524096"/>
    <w:rsid w:val="00524B9C"/>
    <w:rsid w:val="00524F4B"/>
    <w:rsid w:val="00526F4E"/>
    <w:rsid w:val="005276B4"/>
    <w:rsid w:val="0053320E"/>
    <w:rsid w:val="00533974"/>
    <w:rsid w:val="00540B98"/>
    <w:rsid w:val="00542894"/>
    <w:rsid w:val="00543281"/>
    <w:rsid w:val="005443EE"/>
    <w:rsid w:val="00546FA4"/>
    <w:rsid w:val="005509C0"/>
    <w:rsid w:val="00550DC6"/>
    <w:rsid w:val="00553A13"/>
    <w:rsid w:val="005615B6"/>
    <w:rsid w:val="00566851"/>
    <w:rsid w:val="00566A43"/>
    <w:rsid w:val="00572A34"/>
    <w:rsid w:val="0057745B"/>
    <w:rsid w:val="0057769C"/>
    <w:rsid w:val="005776D9"/>
    <w:rsid w:val="005778E5"/>
    <w:rsid w:val="00583D70"/>
    <w:rsid w:val="005870C0"/>
    <w:rsid w:val="00595E59"/>
    <w:rsid w:val="005A0744"/>
    <w:rsid w:val="005A3592"/>
    <w:rsid w:val="005A77BE"/>
    <w:rsid w:val="005B7E41"/>
    <w:rsid w:val="005C1716"/>
    <w:rsid w:val="005C5C5C"/>
    <w:rsid w:val="005D04D0"/>
    <w:rsid w:val="005D0957"/>
    <w:rsid w:val="005D2AF1"/>
    <w:rsid w:val="005D33E7"/>
    <w:rsid w:val="005D5B23"/>
    <w:rsid w:val="005D701F"/>
    <w:rsid w:val="005E0FF4"/>
    <w:rsid w:val="005E1C13"/>
    <w:rsid w:val="005E34E7"/>
    <w:rsid w:val="005E370D"/>
    <w:rsid w:val="005E3F2A"/>
    <w:rsid w:val="005E6C2E"/>
    <w:rsid w:val="005F1F67"/>
    <w:rsid w:val="005F29C4"/>
    <w:rsid w:val="005F2F2F"/>
    <w:rsid w:val="005F36A0"/>
    <w:rsid w:val="0060015D"/>
    <w:rsid w:val="00600B28"/>
    <w:rsid w:val="00601534"/>
    <w:rsid w:val="006023C6"/>
    <w:rsid w:val="00603E78"/>
    <w:rsid w:val="006055F9"/>
    <w:rsid w:val="00605B7A"/>
    <w:rsid w:val="00610DC9"/>
    <w:rsid w:val="00611870"/>
    <w:rsid w:val="00613B8A"/>
    <w:rsid w:val="00617C69"/>
    <w:rsid w:val="00623B72"/>
    <w:rsid w:val="006354FD"/>
    <w:rsid w:val="00636AE5"/>
    <w:rsid w:val="00641563"/>
    <w:rsid w:val="00641F83"/>
    <w:rsid w:val="006428BE"/>
    <w:rsid w:val="00650E60"/>
    <w:rsid w:val="0065383A"/>
    <w:rsid w:val="006603A1"/>
    <w:rsid w:val="0067343A"/>
    <w:rsid w:val="006735B2"/>
    <w:rsid w:val="00674AEB"/>
    <w:rsid w:val="006771FF"/>
    <w:rsid w:val="00680CF2"/>
    <w:rsid w:val="00683DEE"/>
    <w:rsid w:val="00685985"/>
    <w:rsid w:val="00687EA1"/>
    <w:rsid w:val="00692669"/>
    <w:rsid w:val="006955DC"/>
    <w:rsid w:val="00695661"/>
    <w:rsid w:val="00697ADD"/>
    <w:rsid w:val="00697BCC"/>
    <w:rsid w:val="006A4CF4"/>
    <w:rsid w:val="006A6758"/>
    <w:rsid w:val="006B4FAE"/>
    <w:rsid w:val="006B7AAC"/>
    <w:rsid w:val="006C1BE7"/>
    <w:rsid w:val="006D1526"/>
    <w:rsid w:val="006D1AE4"/>
    <w:rsid w:val="006D5D9F"/>
    <w:rsid w:val="006E2418"/>
    <w:rsid w:val="006E4F30"/>
    <w:rsid w:val="006E7921"/>
    <w:rsid w:val="006F0940"/>
    <w:rsid w:val="006F0E9A"/>
    <w:rsid w:val="006F4437"/>
    <w:rsid w:val="00700A5E"/>
    <w:rsid w:val="0070294E"/>
    <w:rsid w:val="00703B7A"/>
    <w:rsid w:val="007047A0"/>
    <w:rsid w:val="00704A57"/>
    <w:rsid w:val="00705BAF"/>
    <w:rsid w:val="00707315"/>
    <w:rsid w:val="0071508A"/>
    <w:rsid w:val="007214DA"/>
    <w:rsid w:val="00721D08"/>
    <w:rsid w:val="00727DC1"/>
    <w:rsid w:val="00731741"/>
    <w:rsid w:val="00734FC1"/>
    <w:rsid w:val="007361C0"/>
    <w:rsid w:val="00737032"/>
    <w:rsid w:val="00740EA6"/>
    <w:rsid w:val="0074476B"/>
    <w:rsid w:val="007458AA"/>
    <w:rsid w:val="0074698A"/>
    <w:rsid w:val="007523AB"/>
    <w:rsid w:val="007540CD"/>
    <w:rsid w:val="0075431A"/>
    <w:rsid w:val="00756489"/>
    <w:rsid w:val="00756946"/>
    <w:rsid w:val="00757249"/>
    <w:rsid w:val="00757996"/>
    <w:rsid w:val="00766725"/>
    <w:rsid w:val="00767B3C"/>
    <w:rsid w:val="00767B96"/>
    <w:rsid w:val="00770941"/>
    <w:rsid w:val="00774441"/>
    <w:rsid w:val="00775DD7"/>
    <w:rsid w:val="00777356"/>
    <w:rsid w:val="00781CED"/>
    <w:rsid w:val="00784EC6"/>
    <w:rsid w:val="0078741F"/>
    <w:rsid w:val="00793077"/>
    <w:rsid w:val="00794378"/>
    <w:rsid w:val="00795065"/>
    <w:rsid w:val="007A244E"/>
    <w:rsid w:val="007A649D"/>
    <w:rsid w:val="007A7E56"/>
    <w:rsid w:val="007B41E6"/>
    <w:rsid w:val="007B4717"/>
    <w:rsid w:val="007C0500"/>
    <w:rsid w:val="007C4B83"/>
    <w:rsid w:val="007C57CC"/>
    <w:rsid w:val="007C7FE5"/>
    <w:rsid w:val="007D64FE"/>
    <w:rsid w:val="007D7633"/>
    <w:rsid w:val="007D7964"/>
    <w:rsid w:val="007E0CEF"/>
    <w:rsid w:val="007E4028"/>
    <w:rsid w:val="007F3840"/>
    <w:rsid w:val="007F4E7F"/>
    <w:rsid w:val="007F583A"/>
    <w:rsid w:val="007F639E"/>
    <w:rsid w:val="007F716B"/>
    <w:rsid w:val="007F7C74"/>
    <w:rsid w:val="00802D08"/>
    <w:rsid w:val="00806F15"/>
    <w:rsid w:val="00807222"/>
    <w:rsid w:val="00807F13"/>
    <w:rsid w:val="00811B78"/>
    <w:rsid w:val="00812316"/>
    <w:rsid w:val="008150C6"/>
    <w:rsid w:val="00816176"/>
    <w:rsid w:val="00820344"/>
    <w:rsid w:val="00820C73"/>
    <w:rsid w:val="008232DB"/>
    <w:rsid w:val="008253D6"/>
    <w:rsid w:val="00826E3A"/>
    <w:rsid w:val="00833D4B"/>
    <w:rsid w:val="008356F8"/>
    <w:rsid w:val="00835C8F"/>
    <w:rsid w:val="00837812"/>
    <w:rsid w:val="00837D5B"/>
    <w:rsid w:val="00841302"/>
    <w:rsid w:val="00856338"/>
    <w:rsid w:val="00860B36"/>
    <w:rsid w:val="00860FC4"/>
    <w:rsid w:val="008613CE"/>
    <w:rsid w:val="00864AE2"/>
    <w:rsid w:val="00880DE7"/>
    <w:rsid w:val="0088137F"/>
    <w:rsid w:val="00885106"/>
    <w:rsid w:val="00895DC9"/>
    <w:rsid w:val="008A2058"/>
    <w:rsid w:val="008A52C0"/>
    <w:rsid w:val="008B1694"/>
    <w:rsid w:val="008B20F1"/>
    <w:rsid w:val="008B6670"/>
    <w:rsid w:val="008B7162"/>
    <w:rsid w:val="008C0E6B"/>
    <w:rsid w:val="008C496D"/>
    <w:rsid w:val="008C4E8F"/>
    <w:rsid w:val="008C5019"/>
    <w:rsid w:val="008C6D2C"/>
    <w:rsid w:val="008D1A34"/>
    <w:rsid w:val="008E14D8"/>
    <w:rsid w:val="008E5A1F"/>
    <w:rsid w:val="008E5A55"/>
    <w:rsid w:val="008F0D62"/>
    <w:rsid w:val="008F72E7"/>
    <w:rsid w:val="008F761B"/>
    <w:rsid w:val="00902F56"/>
    <w:rsid w:val="00903465"/>
    <w:rsid w:val="00903AC7"/>
    <w:rsid w:val="00910F42"/>
    <w:rsid w:val="00913075"/>
    <w:rsid w:val="00913569"/>
    <w:rsid w:val="00913C92"/>
    <w:rsid w:val="009179C3"/>
    <w:rsid w:val="009217F1"/>
    <w:rsid w:val="00926CC6"/>
    <w:rsid w:val="009340D7"/>
    <w:rsid w:val="0093475E"/>
    <w:rsid w:val="00935F20"/>
    <w:rsid w:val="00936C70"/>
    <w:rsid w:val="00941AF8"/>
    <w:rsid w:val="009439DD"/>
    <w:rsid w:val="00944ABF"/>
    <w:rsid w:val="00950D71"/>
    <w:rsid w:val="0095361C"/>
    <w:rsid w:val="00955598"/>
    <w:rsid w:val="00960A08"/>
    <w:rsid w:val="00965EC0"/>
    <w:rsid w:val="009674E4"/>
    <w:rsid w:val="00967596"/>
    <w:rsid w:val="009710B7"/>
    <w:rsid w:val="00973FA9"/>
    <w:rsid w:val="009776C5"/>
    <w:rsid w:val="00977737"/>
    <w:rsid w:val="00977AE2"/>
    <w:rsid w:val="009802A4"/>
    <w:rsid w:val="009820C3"/>
    <w:rsid w:val="00982376"/>
    <w:rsid w:val="0098309B"/>
    <w:rsid w:val="00983213"/>
    <w:rsid w:val="009835E0"/>
    <w:rsid w:val="00983AD5"/>
    <w:rsid w:val="00987485"/>
    <w:rsid w:val="00991EE5"/>
    <w:rsid w:val="00993AB1"/>
    <w:rsid w:val="00994D67"/>
    <w:rsid w:val="009958C5"/>
    <w:rsid w:val="00996B6E"/>
    <w:rsid w:val="009A4D69"/>
    <w:rsid w:val="009A6630"/>
    <w:rsid w:val="009B1C5E"/>
    <w:rsid w:val="009B1EAF"/>
    <w:rsid w:val="009B4436"/>
    <w:rsid w:val="009C03D7"/>
    <w:rsid w:val="009C1448"/>
    <w:rsid w:val="009C5B42"/>
    <w:rsid w:val="009C5FFD"/>
    <w:rsid w:val="009D29FD"/>
    <w:rsid w:val="009D3462"/>
    <w:rsid w:val="009D47FC"/>
    <w:rsid w:val="009E67BE"/>
    <w:rsid w:val="009F1A22"/>
    <w:rsid w:val="009F3E37"/>
    <w:rsid w:val="009F71C9"/>
    <w:rsid w:val="00A06239"/>
    <w:rsid w:val="00A06FE0"/>
    <w:rsid w:val="00A078E4"/>
    <w:rsid w:val="00A12293"/>
    <w:rsid w:val="00A15559"/>
    <w:rsid w:val="00A164B3"/>
    <w:rsid w:val="00A241B2"/>
    <w:rsid w:val="00A31185"/>
    <w:rsid w:val="00A32261"/>
    <w:rsid w:val="00A37CDE"/>
    <w:rsid w:val="00A54E04"/>
    <w:rsid w:val="00A57EF8"/>
    <w:rsid w:val="00A66BCD"/>
    <w:rsid w:val="00A73C69"/>
    <w:rsid w:val="00A744C5"/>
    <w:rsid w:val="00A75E28"/>
    <w:rsid w:val="00A77B83"/>
    <w:rsid w:val="00A83387"/>
    <w:rsid w:val="00A87C9B"/>
    <w:rsid w:val="00A87CC2"/>
    <w:rsid w:val="00A902DF"/>
    <w:rsid w:val="00A90804"/>
    <w:rsid w:val="00A90876"/>
    <w:rsid w:val="00A90932"/>
    <w:rsid w:val="00A90E83"/>
    <w:rsid w:val="00A922C5"/>
    <w:rsid w:val="00A9270E"/>
    <w:rsid w:val="00A9487F"/>
    <w:rsid w:val="00A95C56"/>
    <w:rsid w:val="00AB0E1E"/>
    <w:rsid w:val="00AB5068"/>
    <w:rsid w:val="00AB530D"/>
    <w:rsid w:val="00AB68C2"/>
    <w:rsid w:val="00AC0D7C"/>
    <w:rsid w:val="00AD03A6"/>
    <w:rsid w:val="00AD2543"/>
    <w:rsid w:val="00AE4806"/>
    <w:rsid w:val="00AF210E"/>
    <w:rsid w:val="00AF508A"/>
    <w:rsid w:val="00B06D94"/>
    <w:rsid w:val="00B07F02"/>
    <w:rsid w:val="00B13309"/>
    <w:rsid w:val="00B15D28"/>
    <w:rsid w:val="00B160F2"/>
    <w:rsid w:val="00B210FA"/>
    <w:rsid w:val="00B219AD"/>
    <w:rsid w:val="00B21AEB"/>
    <w:rsid w:val="00B25878"/>
    <w:rsid w:val="00B30292"/>
    <w:rsid w:val="00B3038A"/>
    <w:rsid w:val="00B31010"/>
    <w:rsid w:val="00B33797"/>
    <w:rsid w:val="00B36173"/>
    <w:rsid w:val="00B3677A"/>
    <w:rsid w:val="00B36F25"/>
    <w:rsid w:val="00B4270B"/>
    <w:rsid w:val="00B439F8"/>
    <w:rsid w:val="00B457D8"/>
    <w:rsid w:val="00B47633"/>
    <w:rsid w:val="00B47FBA"/>
    <w:rsid w:val="00B53C4F"/>
    <w:rsid w:val="00B54A27"/>
    <w:rsid w:val="00B566F8"/>
    <w:rsid w:val="00B57C66"/>
    <w:rsid w:val="00B651AB"/>
    <w:rsid w:val="00B652C1"/>
    <w:rsid w:val="00B66950"/>
    <w:rsid w:val="00B66E5F"/>
    <w:rsid w:val="00B67346"/>
    <w:rsid w:val="00B70160"/>
    <w:rsid w:val="00B76BE9"/>
    <w:rsid w:val="00B771E8"/>
    <w:rsid w:val="00B77315"/>
    <w:rsid w:val="00B8049D"/>
    <w:rsid w:val="00B8092E"/>
    <w:rsid w:val="00B90524"/>
    <w:rsid w:val="00B90842"/>
    <w:rsid w:val="00B91748"/>
    <w:rsid w:val="00B95CD1"/>
    <w:rsid w:val="00BA0421"/>
    <w:rsid w:val="00BA42EF"/>
    <w:rsid w:val="00BA64B4"/>
    <w:rsid w:val="00BB0262"/>
    <w:rsid w:val="00BB13C6"/>
    <w:rsid w:val="00BB396E"/>
    <w:rsid w:val="00BB6140"/>
    <w:rsid w:val="00BC1068"/>
    <w:rsid w:val="00BC30B3"/>
    <w:rsid w:val="00BC4F22"/>
    <w:rsid w:val="00BC6426"/>
    <w:rsid w:val="00BD1447"/>
    <w:rsid w:val="00BD6F1E"/>
    <w:rsid w:val="00BD6FDE"/>
    <w:rsid w:val="00BD7CE6"/>
    <w:rsid w:val="00BE09F6"/>
    <w:rsid w:val="00BE0FF0"/>
    <w:rsid w:val="00BE1B58"/>
    <w:rsid w:val="00BF5B16"/>
    <w:rsid w:val="00C033FE"/>
    <w:rsid w:val="00C03B6E"/>
    <w:rsid w:val="00C03EBB"/>
    <w:rsid w:val="00C11BD6"/>
    <w:rsid w:val="00C14D07"/>
    <w:rsid w:val="00C17ED8"/>
    <w:rsid w:val="00C20853"/>
    <w:rsid w:val="00C22A2F"/>
    <w:rsid w:val="00C2307A"/>
    <w:rsid w:val="00C242DA"/>
    <w:rsid w:val="00C32DB4"/>
    <w:rsid w:val="00C3438C"/>
    <w:rsid w:val="00C35278"/>
    <w:rsid w:val="00C36A2A"/>
    <w:rsid w:val="00C404B0"/>
    <w:rsid w:val="00C4532B"/>
    <w:rsid w:val="00C45911"/>
    <w:rsid w:val="00C52DDE"/>
    <w:rsid w:val="00C534F2"/>
    <w:rsid w:val="00C55670"/>
    <w:rsid w:val="00C6215F"/>
    <w:rsid w:val="00C622F7"/>
    <w:rsid w:val="00C6343F"/>
    <w:rsid w:val="00C65642"/>
    <w:rsid w:val="00C66011"/>
    <w:rsid w:val="00C7366F"/>
    <w:rsid w:val="00C7377C"/>
    <w:rsid w:val="00C76C08"/>
    <w:rsid w:val="00C92692"/>
    <w:rsid w:val="00C941BE"/>
    <w:rsid w:val="00C95851"/>
    <w:rsid w:val="00CA0665"/>
    <w:rsid w:val="00CA1836"/>
    <w:rsid w:val="00CA2635"/>
    <w:rsid w:val="00CA500C"/>
    <w:rsid w:val="00CB0E41"/>
    <w:rsid w:val="00CB2BAD"/>
    <w:rsid w:val="00CB3042"/>
    <w:rsid w:val="00CB618E"/>
    <w:rsid w:val="00CB716F"/>
    <w:rsid w:val="00CC0A73"/>
    <w:rsid w:val="00CC374F"/>
    <w:rsid w:val="00CC4E40"/>
    <w:rsid w:val="00CD184C"/>
    <w:rsid w:val="00CD3BCD"/>
    <w:rsid w:val="00CD7CFA"/>
    <w:rsid w:val="00CD7FDF"/>
    <w:rsid w:val="00CE384C"/>
    <w:rsid w:val="00CE3C3F"/>
    <w:rsid w:val="00CE5A1B"/>
    <w:rsid w:val="00CE7CC4"/>
    <w:rsid w:val="00CF0AD5"/>
    <w:rsid w:val="00CF3A72"/>
    <w:rsid w:val="00D01A96"/>
    <w:rsid w:val="00D03831"/>
    <w:rsid w:val="00D06FB7"/>
    <w:rsid w:val="00D135CF"/>
    <w:rsid w:val="00D1491E"/>
    <w:rsid w:val="00D16786"/>
    <w:rsid w:val="00D258D8"/>
    <w:rsid w:val="00D26B84"/>
    <w:rsid w:val="00D33912"/>
    <w:rsid w:val="00D374BB"/>
    <w:rsid w:val="00D41BEE"/>
    <w:rsid w:val="00D456CF"/>
    <w:rsid w:val="00D4665C"/>
    <w:rsid w:val="00D503DC"/>
    <w:rsid w:val="00D52D2F"/>
    <w:rsid w:val="00D52F89"/>
    <w:rsid w:val="00D54AA9"/>
    <w:rsid w:val="00D54C20"/>
    <w:rsid w:val="00D554CE"/>
    <w:rsid w:val="00D6386F"/>
    <w:rsid w:val="00D65A33"/>
    <w:rsid w:val="00D665D1"/>
    <w:rsid w:val="00D67E8C"/>
    <w:rsid w:val="00D705BC"/>
    <w:rsid w:val="00D70897"/>
    <w:rsid w:val="00D70F09"/>
    <w:rsid w:val="00D732FC"/>
    <w:rsid w:val="00D7392E"/>
    <w:rsid w:val="00D75312"/>
    <w:rsid w:val="00D82C25"/>
    <w:rsid w:val="00D9396B"/>
    <w:rsid w:val="00D943E3"/>
    <w:rsid w:val="00D97361"/>
    <w:rsid w:val="00DA2C73"/>
    <w:rsid w:val="00DA526B"/>
    <w:rsid w:val="00DA649B"/>
    <w:rsid w:val="00DC524E"/>
    <w:rsid w:val="00DC759E"/>
    <w:rsid w:val="00DD25B2"/>
    <w:rsid w:val="00DD28A6"/>
    <w:rsid w:val="00DD3F89"/>
    <w:rsid w:val="00DD6346"/>
    <w:rsid w:val="00DD644E"/>
    <w:rsid w:val="00DE0281"/>
    <w:rsid w:val="00DE0BEB"/>
    <w:rsid w:val="00DE11E6"/>
    <w:rsid w:val="00DE4E4D"/>
    <w:rsid w:val="00DF73B3"/>
    <w:rsid w:val="00E008C3"/>
    <w:rsid w:val="00E04AD3"/>
    <w:rsid w:val="00E05146"/>
    <w:rsid w:val="00E0603A"/>
    <w:rsid w:val="00E06256"/>
    <w:rsid w:val="00E06DC8"/>
    <w:rsid w:val="00E101EE"/>
    <w:rsid w:val="00E20DDC"/>
    <w:rsid w:val="00E21620"/>
    <w:rsid w:val="00E31DB3"/>
    <w:rsid w:val="00E33046"/>
    <w:rsid w:val="00E33079"/>
    <w:rsid w:val="00E338CE"/>
    <w:rsid w:val="00E34497"/>
    <w:rsid w:val="00E35AC2"/>
    <w:rsid w:val="00E36CEE"/>
    <w:rsid w:val="00E41448"/>
    <w:rsid w:val="00E42957"/>
    <w:rsid w:val="00E46FCF"/>
    <w:rsid w:val="00E66AA6"/>
    <w:rsid w:val="00E73DD3"/>
    <w:rsid w:val="00E758CF"/>
    <w:rsid w:val="00E7792E"/>
    <w:rsid w:val="00E871F8"/>
    <w:rsid w:val="00E90A86"/>
    <w:rsid w:val="00EA2C58"/>
    <w:rsid w:val="00EA4FF2"/>
    <w:rsid w:val="00EA510A"/>
    <w:rsid w:val="00EB2260"/>
    <w:rsid w:val="00EB7455"/>
    <w:rsid w:val="00EC1204"/>
    <w:rsid w:val="00EC22D2"/>
    <w:rsid w:val="00EC4776"/>
    <w:rsid w:val="00EC6D49"/>
    <w:rsid w:val="00ED60C7"/>
    <w:rsid w:val="00EE4459"/>
    <w:rsid w:val="00EE5F38"/>
    <w:rsid w:val="00EE7237"/>
    <w:rsid w:val="00EF086C"/>
    <w:rsid w:val="00EF0982"/>
    <w:rsid w:val="00EF260B"/>
    <w:rsid w:val="00EF7051"/>
    <w:rsid w:val="00EF76DB"/>
    <w:rsid w:val="00F00686"/>
    <w:rsid w:val="00F128D8"/>
    <w:rsid w:val="00F21572"/>
    <w:rsid w:val="00F26674"/>
    <w:rsid w:val="00F26872"/>
    <w:rsid w:val="00F303DE"/>
    <w:rsid w:val="00F34893"/>
    <w:rsid w:val="00F3545F"/>
    <w:rsid w:val="00F37A95"/>
    <w:rsid w:val="00F4094C"/>
    <w:rsid w:val="00F41F83"/>
    <w:rsid w:val="00F4374A"/>
    <w:rsid w:val="00F5099C"/>
    <w:rsid w:val="00F50ECB"/>
    <w:rsid w:val="00F535FF"/>
    <w:rsid w:val="00F541B3"/>
    <w:rsid w:val="00F55859"/>
    <w:rsid w:val="00F55F11"/>
    <w:rsid w:val="00F56DBF"/>
    <w:rsid w:val="00F6106D"/>
    <w:rsid w:val="00F646E3"/>
    <w:rsid w:val="00F65C41"/>
    <w:rsid w:val="00F66C75"/>
    <w:rsid w:val="00F66EE6"/>
    <w:rsid w:val="00F721CB"/>
    <w:rsid w:val="00F721E0"/>
    <w:rsid w:val="00F734B1"/>
    <w:rsid w:val="00F73BB7"/>
    <w:rsid w:val="00F7538E"/>
    <w:rsid w:val="00F80527"/>
    <w:rsid w:val="00F82D79"/>
    <w:rsid w:val="00F83140"/>
    <w:rsid w:val="00F86A9E"/>
    <w:rsid w:val="00F86B29"/>
    <w:rsid w:val="00F86B7D"/>
    <w:rsid w:val="00F92222"/>
    <w:rsid w:val="00F92EC2"/>
    <w:rsid w:val="00FB0E4D"/>
    <w:rsid w:val="00FB5342"/>
    <w:rsid w:val="00FB596B"/>
    <w:rsid w:val="00FB5B9D"/>
    <w:rsid w:val="00FB6925"/>
    <w:rsid w:val="00FC0284"/>
    <w:rsid w:val="00FC5BF6"/>
    <w:rsid w:val="00FD2920"/>
    <w:rsid w:val="00FE01D1"/>
    <w:rsid w:val="00FE05A1"/>
    <w:rsid w:val="00FE0D27"/>
    <w:rsid w:val="00FE3E1B"/>
    <w:rsid w:val="00FE5E74"/>
    <w:rsid w:val="00FE709A"/>
    <w:rsid w:val="00FF2E6B"/>
    <w:rsid w:val="00FF4CF6"/>
    <w:rsid w:val="631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6422"/>
  <w15:chartTrackingRefBased/>
  <w15:docId w15:val="{5C122A2D-684A-4FCF-9ECF-BE8F4C6F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95A73"/>
    <w:pPr>
      <w:spacing w:after="200"/>
      <w:jc w:val="both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5A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lc.gov/nlcd11_leg.php" TargetMode="External"/><Relationship Id="rId4" Type="http://schemas.openxmlformats.org/officeDocument/2006/relationships/hyperlink" Target="http://www.nass.usda.gov/research/Cropland/metadata/met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</dc:creator>
  <cp:keywords/>
  <dc:description/>
  <cp:lastModifiedBy>dilip</cp:lastModifiedBy>
  <cp:revision>3</cp:revision>
  <dcterms:created xsi:type="dcterms:W3CDTF">2015-08-19T09:39:00Z</dcterms:created>
  <dcterms:modified xsi:type="dcterms:W3CDTF">2015-12-12T11:50:00Z</dcterms:modified>
</cp:coreProperties>
</file>