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FF" w:rsidRPr="006D52FF" w:rsidRDefault="006D52FF" w:rsidP="006D52FF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52FF">
        <w:rPr>
          <w:rFonts w:ascii="Times New Roman" w:eastAsia="Calibri" w:hAnsi="Times New Roman" w:cs="Times New Roman"/>
          <w:b/>
          <w:sz w:val="24"/>
          <w:szCs w:val="24"/>
        </w:rPr>
        <w:t>Supplemental Table. Central adjudication of deaths among aggressive non-Hodgkin lymphoma patients in Lilongwe, Malawi.</w:t>
      </w:r>
    </w:p>
    <w:tbl>
      <w:tblPr>
        <w:tblStyle w:val="TableGrid"/>
        <w:tblW w:w="12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460" w:firstRow="1" w:lastRow="1" w:firstColumn="0" w:lastColumn="0" w:noHBand="0" w:noVBand="1"/>
      </w:tblPr>
      <w:tblGrid>
        <w:gridCol w:w="864"/>
        <w:gridCol w:w="864"/>
        <w:gridCol w:w="864"/>
        <w:gridCol w:w="9792"/>
      </w:tblGrid>
      <w:tr w:rsidR="006D52FF" w:rsidRPr="006D52FF" w:rsidTr="006D52FF">
        <w:trPr>
          <w:trHeight w:val="8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Patient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CHOP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Disease</w:t>
            </w:r>
          </w:p>
        </w:tc>
        <w:tc>
          <w:tcPr>
            <w:tcW w:w="9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Comments</w:t>
            </w:r>
          </w:p>
        </w:tc>
      </w:tr>
      <w:tr w:rsidR="006D52FF" w:rsidRPr="006D52FF" w:rsidTr="006D52FF">
        <w:trPr>
          <w:trHeight w:val="116"/>
        </w:trPr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2" w:type="dxa"/>
            <w:tcBorders>
              <w:top w:val="single" w:sz="4" w:space="0" w:color="auto"/>
            </w:tcBorders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Deaths before CHOP initiation</w:t>
            </w:r>
          </w:p>
        </w:tc>
      </w:tr>
      <w:tr w:rsidR="006D52FF" w:rsidRPr="006D52FF" w:rsidTr="006D52FF">
        <w:trPr>
          <w:trHeight w:val="116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HIV- stage IV anaplastic large cell lymphoma with bulky abdominal disease and malignant ascites. Received prephase prednisone but did not return for chemotherapy despite repeated attempts to contact.</w:t>
            </w:r>
          </w:p>
        </w:tc>
      </w:tr>
      <w:tr w:rsidR="006D52FF" w:rsidRPr="006D52FF" w:rsidTr="006D52FF">
        <w:trPr>
          <w:trHeight w:val="116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HIV+ stage IV Burkitt lymphoma, performance status 3. Died before pathologic confirmation and chemotherapy initiation.</w:t>
            </w:r>
          </w:p>
        </w:tc>
      </w:tr>
      <w:tr w:rsidR="006D52FF" w:rsidRPr="006D52FF" w:rsidTr="006D52FF">
        <w:trPr>
          <w:trHeight w:val="116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HIV+ stage IV DLCBL. Died of acute airway obstruction despite high-dose steroids before chemotherapy initiation.</w:t>
            </w:r>
          </w:p>
        </w:tc>
      </w:tr>
      <w:tr w:rsidR="006D52FF" w:rsidRPr="006D52FF" w:rsidTr="006D52FF">
        <w:trPr>
          <w:trHeight w:val="116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HIV+ bulky DLBCL, CD4 &lt;50, performance status 3. Presented with serum creatinine 15.8 mg/dL. Received prephase prednisone and medical optimization but died before chemotherapy initiation.</w:t>
            </w:r>
          </w:p>
        </w:tc>
      </w:tr>
      <w:tr w:rsidR="006D52FF" w:rsidRPr="006D52FF" w:rsidTr="006D52FF">
        <w:trPr>
          <w:trHeight w:val="116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HIV+ stage IV Burkitt lymphoma, CD4 &lt;50, performance status 3. Presented with renal failure, serum creatinine 2.4 mg/dL. Died before chemotherapy initiation.</w:t>
            </w:r>
          </w:p>
        </w:tc>
      </w:tr>
      <w:tr w:rsidR="006D52FF" w:rsidRPr="006D52FF" w:rsidTr="006D52FF">
        <w:trPr>
          <w:trHeight w:val="116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HIV+ bulky cervical DLBCL. Developed acute airway obstruction requiring emergency tracheostomy and high-dose steroids. Died before chemotherapy initiation.</w:t>
            </w:r>
          </w:p>
        </w:tc>
      </w:tr>
      <w:tr w:rsidR="006D52FF" w:rsidRPr="006D52FF" w:rsidTr="006D52FF">
        <w:trPr>
          <w:trHeight w:val="116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HIV- stage IV DLBCL. Died before pathologic confirmation and chemotherapy initiation.</w:t>
            </w:r>
          </w:p>
        </w:tc>
      </w:tr>
      <w:tr w:rsidR="006D52FF" w:rsidRPr="006D52FF" w:rsidTr="006D52FF">
        <w:trPr>
          <w:trHeight w:val="116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HIV+ stage IV high-grade B-cell lymphoma, CD4 &lt;50, performance status 4. Received prephase prednisone, died before chemotherapy initiation.</w:t>
            </w:r>
          </w:p>
        </w:tc>
      </w:tr>
      <w:tr w:rsidR="006D52FF" w:rsidRPr="006D52FF" w:rsidTr="006D52FF">
        <w:trPr>
          <w:trHeight w:val="116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Deaths after CHOP initiation</w:t>
            </w:r>
          </w:p>
        </w:tc>
      </w:tr>
      <w:tr w:rsidR="006D52FF" w:rsidRPr="006D52FF" w:rsidTr="006D52FF">
        <w:trPr>
          <w:trHeight w:val="116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4" w:type="dxa"/>
            <w:shd w:val="clear" w:color="auto" w:fill="FFFFFF"/>
            <w:hideMark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hideMark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2" w:type="dxa"/>
            <w:shd w:val="clear" w:color="auto" w:fill="FFFFFF"/>
            <w:hideMark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HIV+ stage IV DLBCL with marrow involvement, CD4 &lt;100, died 2 weeks after CHOP1.</w:t>
            </w:r>
          </w:p>
        </w:tc>
      </w:tr>
      <w:tr w:rsidR="006D52FF" w:rsidRPr="006D52FF" w:rsidTr="006D52FF">
        <w:trPr>
          <w:trHeight w:val="152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HIV-  stage III DLBCL completed CHOPx8 without grade 3/4 toxicity. Achieved partial response but progressed 3 months after CHOP completion. Received 2 salvage chemotherapy cycles with continued progression.</w:t>
            </w:r>
          </w:p>
        </w:tc>
      </w:tr>
      <w:tr w:rsidR="006D52FF" w:rsidRPr="006D52FF" w:rsidTr="006D52FF">
        <w:trPr>
          <w:trHeight w:val="152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HIV+ stage IV DLBCL, CD4 &gt;500, with marrow involvement. Achieved partial response but progressed 3 months after CHOP completion. Received 2 salvage chemotherapy cycles with continued progression.</w:t>
            </w:r>
          </w:p>
        </w:tc>
      </w:tr>
      <w:tr w:rsidR="006D52FF" w:rsidRPr="006D52FF" w:rsidTr="006D52FF">
        <w:trPr>
          <w:trHeight w:val="206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4" w:type="dxa"/>
            <w:shd w:val="clear" w:color="auto" w:fill="FFFFFF"/>
            <w:hideMark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hideMark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2" w:type="dxa"/>
            <w:shd w:val="clear" w:color="auto" w:fill="FFFFFF"/>
            <w:hideMark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HIV- with abdominal DLBCL progressed through CHOPx5. Died 1.5 months after last chemotherapy with no grade 3/4 toxicity encountered during treatment.</w:t>
            </w:r>
          </w:p>
        </w:tc>
      </w:tr>
      <w:tr w:rsidR="006D52FF" w:rsidRPr="006D52FF" w:rsidTr="006D52FF">
        <w:trPr>
          <w:trHeight w:val="386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4" w:type="dxa"/>
            <w:shd w:val="clear" w:color="auto" w:fill="FFFFFF"/>
            <w:hideMark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hideMark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2" w:type="dxa"/>
            <w:shd w:val="clear" w:color="auto" w:fill="FFFFFF"/>
            <w:hideMark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HIV+ stage IV DLBCL, CD4 &gt;200, with marrow and leptomeningeal involvement. Achieved partial response, but died 3 weeks after CHOP5 with no grade 3/4 toxicity previously encountered.</w:t>
            </w:r>
          </w:p>
        </w:tc>
      </w:tr>
      <w:tr w:rsidR="006D52FF" w:rsidRPr="006D52FF" w:rsidTr="006D52FF">
        <w:trPr>
          <w:trHeight w:val="296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4" w:type="dxa"/>
            <w:shd w:val="clear" w:color="auto" w:fill="FFFFFF"/>
            <w:hideMark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hideMark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2" w:type="dxa"/>
            <w:shd w:val="clear" w:color="auto" w:fill="FFFFFF"/>
            <w:hideMark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HIV- with abdominal extranodal NK/T-cell lymphoma progressed through CHOPx4 eventually causing bowel obstruction. Died 1.5 months after last chemotherapy with no grade 3/4 toxicity encountered during treatment.</w:t>
            </w:r>
          </w:p>
        </w:tc>
      </w:tr>
      <w:tr w:rsidR="006D52FF" w:rsidRPr="006D52FF" w:rsidTr="006D52FF">
        <w:trPr>
          <w:trHeight w:val="287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4" w:type="dxa"/>
            <w:shd w:val="clear" w:color="auto" w:fill="FFFFFF"/>
            <w:hideMark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hideMark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2" w:type="dxa"/>
            <w:shd w:val="clear" w:color="auto" w:fill="FFFFFF"/>
            <w:hideMark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HIV- stage III bulky DLBCL, achieved complete response after CHOP1. Completed CHOPx3 but developed severe nausea/vomiting, dehydration, hypovolemic hypernatremia requiring hospitalization after cycles 2-3.</w:t>
            </w:r>
          </w:p>
        </w:tc>
      </w:tr>
      <w:tr w:rsidR="006D52FF" w:rsidRPr="006D52FF" w:rsidTr="006D52FF">
        <w:trPr>
          <w:trHeight w:val="377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4" w:type="dxa"/>
            <w:shd w:val="clear" w:color="auto" w:fill="FFFFFF"/>
            <w:hideMark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hideMark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2" w:type="dxa"/>
            <w:shd w:val="clear" w:color="auto" w:fill="FFFFFF"/>
            <w:hideMark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HIV- extranodal NK/T-cell lymphoma with orbital and leptomeningeal involvement refractory to CHOPx3. Died 1 month after last chemotherapy with seizures reported prior to death.</w:t>
            </w:r>
          </w:p>
        </w:tc>
      </w:tr>
      <w:tr w:rsidR="006D52FF" w:rsidRPr="006D52FF" w:rsidTr="006D52FF">
        <w:trPr>
          <w:trHeight w:val="107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HIV- stage II bulky high-grade B-cell NHL refractory to CHOPx5. Received 2 salvage chemotherapy cycles with continued progression.</w:t>
            </w:r>
          </w:p>
        </w:tc>
      </w:tr>
      <w:tr w:rsidR="006D52FF" w:rsidRPr="006D52FF" w:rsidTr="006D52FF">
        <w:trPr>
          <w:trHeight w:val="215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4" w:type="dxa"/>
            <w:shd w:val="clear" w:color="auto" w:fill="FFFFFF"/>
            <w:hideMark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  <w:hideMark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2" w:type="dxa"/>
            <w:shd w:val="clear" w:color="auto" w:fill="FFFFFF"/>
            <w:hideMark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HIV+ DLBCL with palatal/central nervous system involvement, CD4 &lt;100, died 1.5 weeks after CHOP1.</w:t>
            </w:r>
          </w:p>
        </w:tc>
      </w:tr>
      <w:tr w:rsidR="006D52FF" w:rsidRPr="006D52FF" w:rsidTr="006D52FF">
        <w:trPr>
          <w:trHeight w:val="215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HIV- stage IV DLBCL completed CHOPx6 with complete response. Pathologically confirmed relapse 3 months after CHOP completion. Received 1 salvage chemotherapy cycle without response.</w:t>
            </w:r>
          </w:p>
        </w:tc>
      </w:tr>
      <w:tr w:rsidR="006D52FF" w:rsidRPr="006D52FF" w:rsidTr="006D52FF">
        <w:trPr>
          <w:trHeight w:val="215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HIV+ plasmablastic lymphoma of oral cavity, CD4 &lt;200. Completed CHOPx6 with complete response. Pathologically confirmed relapse 4 months after CHOP completion. Received 5 salvage chemotherapy cycles with partial response.</w:t>
            </w:r>
          </w:p>
        </w:tc>
      </w:tr>
      <w:tr w:rsidR="006D52FF" w:rsidRPr="006D52FF" w:rsidTr="006D52FF">
        <w:trPr>
          <w:trHeight w:val="215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HIV+ bulky DLBCL, CD4 &lt;100. Received CHOPx5 with partial response and prolonged neutropenia prohibiting CHOP6. Developed disseminated progression 3 months after CHOP5. Received 2 salvage chemotherapy cycles with partial response.</w:t>
            </w:r>
          </w:p>
        </w:tc>
      </w:tr>
      <w:tr w:rsidR="006D52FF" w:rsidRPr="006D52FF" w:rsidTr="006D52FF">
        <w:trPr>
          <w:trHeight w:val="215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HIV+ stage IV DLBCL, CD4 &gt;500. Received CHOPx8 with partial response. Progressive disease 5 months after CHOP8. Received 5 salvage chemotherapy cycles with continued progression.</w:t>
            </w:r>
          </w:p>
        </w:tc>
      </w:tr>
      <w:tr w:rsidR="006D52FF" w:rsidRPr="006D52FF" w:rsidTr="006D52FF">
        <w:trPr>
          <w:trHeight w:val="215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HIV- palatal extranodal NK/T-cell lymphoma with sinus invasion died 2.5 months after CHOP1. Did not return for subsequent visits despite repeated attempts to contact.</w:t>
            </w:r>
          </w:p>
        </w:tc>
      </w:tr>
      <w:tr w:rsidR="006D52FF" w:rsidRPr="006D52FF" w:rsidTr="006D52FF">
        <w:trPr>
          <w:trHeight w:val="215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HIV- stage IV DLBCL presented with spinal cord compression and nonambulatory status for 1 month. Died 2 months after CHOP1, did not return for subsequent visits despite repeated attempts to contact.</w:t>
            </w:r>
          </w:p>
        </w:tc>
      </w:tr>
      <w:tr w:rsidR="006D52FF" w:rsidRPr="006D52FF" w:rsidTr="006D52FF">
        <w:trPr>
          <w:trHeight w:val="215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HIV+ stage IV aggressive B-cell lymphoma with marrow involvement, CD4 &lt;50. Treatment complicated by severe immune reconstitution inflammatory syndrome after recent antiretroviral therapy initiation. Died 2 weeks after CHOP1.</w:t>
            </w:r>
          </w:p>
        </w:tc>
      </w:tr>
      <w:tr w:rsidR="006D52FF" w:rsidRPr="006D52FF" w:rsidTr="006D52FF">
        <w:trPr>
          <w:trHeight w:val="215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HIV+ stage IV DLBCL with marrow involvement, CD4 &gt;350. Died &lt;1 week after dose-reduced CHOP1.</w:t>
            </w:r>
          </w:p>
        </w:tc>
      </w:tr>
      <w:tr w:rsidR="006D52FF" w:rsidRPr="006D52FF" w:rsidTr="006D52FF">
        <w:trPr>
          <w:trHeight w:val="215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HIV+ stage IV DLBCL with marrow involvement, CD4 &lt;100, achieved CR after CHOPx4 and could not receive additional cycles due to prolonged neutropenia. Died 9 months after last chemotherapy, seen 1 month before death at which time still in clinical remission.</w:t>
            </w:r>
          </w:p>
        </w:tc>
      </w:tr>
      <w:tr w:rsidR="006D52FF" w:rsidRPr="006D52FF" w:rsidTr="006D52FF">
        <w:trPr>
          <w:trHeight w:val="215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HIV+ stage IV DLBCL, CD4 &lt;100, performance status 3. Presented with hemoglobin 7 g/dL and creatinine 3 mg/dL. Partial response and improved performance status after dose-reduced CHOP1. Grade 4 anemia after full-dose CHOP2 leading to death.</w:t>
            </w:r>
          </w:p>
        </w:tc>
      </w:tr>
      <w:tr w:rsidR="006D52FF" w:rsidRPr="006D52FF" w:rsidTr="006D52FF">
        <w:trPr>
          <w:trHeight w:val="215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HIV- plasmablastic lymphoma progressed through CHOPx4. Died 3.5 months after last chemotherapy.</w:t>
            </w:r>
          </w:p>
        </w:tc>
      </w:tr>
      <w:tr w:rsidR="006D52FF" w:rsidRPr="006D52FF" w:rsidTr="006D52FF">
        <w:trPr>
          <w:trHeight w:val="215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HIV- stage II bulky DLBCL  achieved complete remission after CHOPx8. Died 1.5 weeks after last chemotherapy cycle.</w:t>
            </w:r>
          </w:p>
        </w:tc>
      </w:tr>
      <w:tr w:rsidR="006D52FF" w:rsidRPr="006D52FF" w:rsidTr="006D52FF">
        <w:trPr>
          <w:trHeight w:val="215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HIV+ stage IV aggressive B-cell lymphoma, performance status 4, CD4 &gt;500. Presented with hemoglobin 7 g/dL and creatinine 6 mg/dL. Required tracheostomy and high-dose steroids for threatened airway. Died &lt;1 week after dose-reduced CHOP1.</w:t>
            </w:r>
          </w:p>
        </w:tc>
      </w:tr>
      <w:tr w:rsidR="006D52FF" w:rsidRPr="006D52FF" w:rsidTr="006D52FF">
        <w:trPr>
          <w:trHeight w:val="215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HIV+ stage IV DLBCL, CD4 &gt;200, with refractory systemic disease to CHOPx6 and cytologically confirmed leptomeningeal progression. Died 3 weeks after CNS progression confirmed.</w:t>
            </w:r>
          </w:p>
        </w:tc>
      </w:tr>
      <w:tr w:rsidR="006D52FF" w:rsidRPr="006D52FF" w:rsidTr="006D52FF">
        <w:trPr>
          <w:trHeight w:val="215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HIV+ stage III DLBCL, CD4 &lt;200, with progressive abdominal disease after CHOP4 resulting in grade 4 obstructive renal failure. Died 2 months after last chemotherapy dose.</w:t>
            </w:r>
          </w:p>
        </w:tc>
      </w:tr>
      <w:tr w:rsidR="006D52FF" w:rsidRPr="006D52FF" w:rsidTr="006D52FF">
        <w:trPr>
          <w:trHeight w:val="215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HIV+ stage III aggressive B-cell lymphoma, CD4 &lt;50, achieved complete remission after CHOPx6. Died 1 month after last chemotherapy with family reporting anemia and no relapsed mass.</w:t>
            </w:r>
          </w:p>
        </w:tc>
      </w:tr>
      <w:tr w:rsidR="006D52FF" w:rsidRPr="006D52FF" w:rsidTr="006D52FF">
        <w:trPr>
          <w:trHeight w:val="215"/>
        </w:trPr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4" w:type="dxa"/>
            <w:shd w:val="clear" w:color="auto" w:fill="FFFFFF"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2" w:type="dxa"/>
            <w:shd w:val="clear" w:color="auto" w:fill="FFFFFF"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HIV- bulky stage III DLBCL. </w:t>
            </w:r>
            <w:bookmarkStart w:id="0" w:name="_GoBack"/>
            <w:bookmarkEnd w:id="0"/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Died 2 weeks after dose-reduced CHOP1.</w:t>
            </w:r>
          </w:p>
        </w:tc>
      </w:tr>
      <w:tr w:rsidR="006D52FF" w:rsidRPr="006D52FF" w:rsidTr="006D52FF">
        <w:trPr>
          <w:trHeight w:val="215"/>
        </w:trPr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Total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D52FF" w:rsidRPr="006D52FF" w:rsidRDefault="006D52FF" w:rsidP="006D52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F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79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D52FF" w:rsidRPr="006D52FF" w:rsidRDefault="006D52FF" w:rsidP="006D52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D52FF" w:rsidRPr="006D52FF" w:rsidRDefault="006D52FF" w:rsidP="006D52FF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</w:rPr>
      </w:pPr>
      <w:r w:rsidRPr="006D52FF">
        <w:rPr>
          <w:rFonts w:ascii="Times New Roman" w:eastAsia="Calibri" w:hAnsi="Times New Roman" w:cs="Times New Roman"/>
          <w:sz w:val="20"/>
          <w:szCs w:val="20"/>
        </w:rPr>
        <w:t>DLBCL=diffuse large B-cell lymphoma.</w:t>
      </w:r>
    </w:p>
    <w:p w:rsidR="00301593" w:rsidRDefault="00301593"/>
    <w:sectPr w:rsidR="00301593" w:rsidSect="007F23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FF"/>
    <w:rsid w:val="00301593"/>
    <w:rsid w:val="006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74F42-DEA9-4E62-8C36-0D3B4FF3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gopal</dc:creator>
  <cp:keywords/>
  <dc:description/>
  <cp:lastModifiedBy>satish gopal</cp:lastModifiedBy>
  <cp:revision>1</cp:revision>
  <dcterms:created xsi:type="dcterms:W3CDTF">2015-12-30T06:13:00Z</dcterms:created>
  <dcterms:modified xsi:type="dcterms:W3CDTF">2015-12-30T06:14:00Z</dcterms:modified>
</cp:coreProperties>
</file>