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5EC61C" w14:textId="77777777" w:rsidR="00987F26" w:rsidRDefault="00987F26" w:rsidP="00987F26">
      <w:pPr>
        <w:spacing w:line="480" w:lineRule="auto"/>
        <w:rPr>
          <w:b/>
        </w:rPr>
      </w:pPr>
      <w:bookmarkStart w:id="0" w:name="_GoBack"/>
      <w:bookmarkEnd w:id="0"/>
      <w:r>
        <w:rPr>
          <w:b/>
        </w:rPr>
        <w:t xml:space="preserve">S2 Table. </w:t>
      </w:r>
      <w:r w:rsidRPr="0005559E">
        <w:rPr>
          <w:b/>
          <w:lang w:val="en-US"/>
        </w:rPr>
        <w:t xml:space="preserve">MVA-BN-HER2 synergized </w:t>
      </w:r>
      <w:r>
        <w:rPr>
          <w:b/>
          <w:lang w:val="en-US"/>
        </w:rPr>
        <w:t>with PD-1 to delay tumor growth</w:t>
      </w:r>
      <w:r>
        <w:rPr>
          <w:b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9"/>
        <w:gridCol w:w="1577"/>
        <w:gridCol w:w="1686"/>
        <w:gridCol w:w="1513"/>
        <w:gridCol w:w="2767"/>
      </w:tblGrid>
      <w:tr w:rsidR="00987F26" w:rsidRPr="003F5A61" w14:paraId="5D9246B4" w14:textId="77777777" w:rsidTr="00987F26">
        <w:tc>
          <w:tcPr>
            <w:tcW w:w="1728" w:type="dxa"/>
          </w:tcPr>
          <w:p w14:paraId="47E2F477" w14:textId="77777777" w:rsidR="00987F26" w:rsidRPr="003F5A61" w:rsidRDefault="00987F26" w:rsidP="00987F26">
            <w:pPr>
              <w:spacing w:line="480" w:lineRule="auto"/>
              <w:rPr>
                <w:b/>
              </w:rPr>
            </w:pPr>
            <w:r w:rsidRPr="003F5A61">
              <w:rPr>
                <w:b/>
              </w:rPr>
              <w:t>MVA-BN-HER2 (Inf.U)</w:t>
            </w:r>
          </w:p>
        </w:tc>
        <w:tc>
          <w:tcPr>
            <w:tcW w:w="1620" w:type="dxa"/>
          </w:tcPr>
          <w:p w14:paraId="68C96054" w14:textId="77777777" w:rsidR="00987F26" w:rsidRPr="003F5A61" w:rsidRDefault="00987F26" w:rsidP="00987F26">
            <w:pPr>
              <w:spacing w:line="480" w:lineRule="auto"/>
              <w:rPr>
                <w:b/>
              </w:rPr>
            </w:pPr>
            <w:r w:rsidRPr="003F5A61">
              <w:rPr>
                <w:b/>
              </w:rPr>
              <w:t>anti-PD-1 (µg)</w:t>
            </w:r>
          </w:p>
        </w:tc>
        <w:tc>
          <w:tcPr>
            <w:tcW w:w="1710" w:type="dxa"/>
          </w:tcPr>
          <w:p w14:paraId="10817453" w14:textId="77777777" w:rsidR="00987F26" w:rsidRPr="003F5A61" w:rsidRDefault="00987F26" w:rsidP="00987F26">
            <w:pPr>
              <w:spacing w:line="480" w:lineRule="auto"/>
              <w:rPr>
                <w:b/>
              </w:rPr>
            </w:pPr>
            <w:r w:rsidRPr="003F5A61">
              <w:rPr>
                <w:b/>
              </w:rPr>
              <w:t>Tumor Growth Inhibition (%)</w:t>
            </w:r>
          </w:p>
        </w:tc>
        <w:tc>
          <w:tcPr>
            <w:tcW w:w="1350" w:type="dxa"/>
          </w:tcPr>
          <w:p w14:paraId="515846A7" w14:textId="77777777" w:rsidR="00987F26" w:rsidRPr="003F5A61" w:rsidRDefault="00987F26" w:rsidP="00987F26">
            <w:pPr>
              <w:spacing w:line="480" w:lineRule="auto"/>
              <w:rPr>
                <w:b/>
              </w:rPr>
            </w:pPr>
            <w:r w:rsidRPr="003F5A61">
              <w:rPr>
                <w:b/>
              </w:rPr>
              <w:t>Combination Index (CI)</w:t>
            </w:r>
          </w:p>
        </w:tc>
        <w:tc>
          <w:tcPr>
            <w:tcW w:w="2834" w:type="dxa"/>
          </w:tcPr>
          <w:p w14:paraId="429B5ED7" w14:textId="77777777" w:rsidR="00987F26" w:rsidRPr="003F5A61" w:rsidRDefault="00987F26" w:rsidP="00987F26">
            <w:pPr>
              <w:spacing w:line="480" w:lineRule="auto"/>
              <w:rPr>
                <w:b/>
              </w:rPr>
            </w:pPr>
            <w:r w:rsidRPr="003F5A61">
              <w:rPr>
                <w:b/>
              </w:rPr>
              <w:t>Description</w:t>
            </w:r>
          </w:p>
        </w:tc>
      </w:tr>
      <w:tr w:rsidR="00987F26" w:rsidRPr="003F5A61" w14:paraId="3C40FD4F" w14:textId="77777777" w:rsidTr="00987F26">
        <w:tc>
          <w:tcPr>
            <w:tcW w:w="1728" w:type="dxa"/>
          </w:tcPr>
          <w:p w14:paraId="4FAF571C" w14:textId="77777777" w:rsidR="00987F26" w:rsidRPr="003F5A61" w:rsidRDefault="00987F26" w:rsidP="00987F26">
            <w:pPr>
              <w:spacing w:line="480" w:lineRule="auto"/>
            </w:pPr>
            <w:r>
              <w:t>0</w:t>
            </w:r>
          </w:p>
        </w:tc>
        <w:tc>
          <w:tcPr>
            <w:tcW w:w="1620" w:type="dxa"/>
          </w:tcPr>
          <w:p w14:paraId="14ADA058" w14:textId="77777777" w:rsidR="00987F26" w:rsidRPr="003F5A61" w:rsidRDefault="00987F26" w:rsidP="00987F26">
            <w:pPr>
              <w:spacing w:line="480" w:lineRule="auto"/>
            </w:pPr>
            <w:r>
              <w:t>0</w:t>
            </w:r>
          </w:p>
        </w:tc>
        <w:tc>
          <w:tcPr>
            <w:tcW w:w="1710" w:type="dxa"/>
          </w:tcPr>
          <w:p w14:paraId="63ED1B45" w14:textId="77777777" w:rsidR="00987F26" w:rsidRPr="003F5A61" w:rsidRDefault="00987F26" w:rsidP="00987F26">
            <w:pPr>
              <w:spacing w:line="480" w:lineRule="auto"/>
            </w:pPr>
            <w:r>
              <w:t>0.0</w:t>
            </w:r>
          </w:p>
        </w:tc>
        <w:tc>
          <w:tcPr>
            <w:tcW w:w="1350" w:type="dxa"/>
          </w:tcPr>
          <w:p w14:paraId="1A3C14F7" w14:textId="77777777" w:rsidR="00987F26" w:rsidRPr="003F5A61" w:rsidRDefault="00987F26" w:rsidP="00987F26">
            <w:pPr>
              <w:spacing w:line="480" w:lineRule="auto"/>
            </w:pPr>
          </w:p>
        </w:tc>
        <w:tc>
          <w:tcPr>
            <w:tcW w:w="2834" w:type="dxa"/>
          </w:tcPr>
          <w:p w14:paraId="0DFCF49E" w14:textId="77777777" w:rsidR="00987F26" w:rsidRPr="003F5A61" w:rsidRDefault="00987F26" w:rsidP="00987F26">
            <w:pPr>
              <w:spacing w:line="480" w:lineRule="auto"/>
            </w:pPr>
          </w:p>
        </w:tc>
      </w:tr>
      <w:tr w:rsidR="00987F26" w:rsidRPr="003F5A61" w14:paraId="5B52B285" w14:textId="77777777" w:rsidTr="00987F26">
        <w:tc>
          <w:tcPr>
            <w:tcW w:w="1728" w:type="dxa"/>
          </w:tcPr>
          <w:p w14:paraId="2442841C" w14:textId="77777777" w:rsidR="00987F26" w:rsidRPr="003F5A61" w:rsidRDefault="00987F26" w:rsidP="00987F26">
            <w:pPr>
              <w:spacing w:line="480" w:lineRule="auto"/>
            </w:pPr>
            <w:r>
              <w:t>1.00E+05</w:t>
            </w:r>
          </w:p>
        </w:tc>
        <w:tc>
          <w:tcPr>
            <w:tcW w:w="1620" w:type="dxa"/>
          </w:tcPr>
          <w:p w14:paraId="26D2F9CB" w14:textId="77777777" w:rsidR="00987F26" w:rsidRPr="003F5A61" w:rsidRDefault="00987F26" w:rsidP="00987F26">
            <w:pPr>
              <w:spacing w:line="480" w:lineRule="auto"/>
            </w:pPr>
            <w:r>
              <w:t>0</w:t>
            </w:r>
          </w:p>
        </w:tc>
        <w:tc>
          <w:tcPr>
            <w:tcW w:w="1710" w:type="dxa"/>
          </w:tcPr>
          <w:p w14:paraId="06C5AF80" w14:textId="77777777" w:rsidR="00987F26" w:rsidRPr="003F5A61" w:rsidRDefault="00987F26" w:rsidP="00987F26">
            <w:pPr>
              <w:spacing w:line="480" w:lineRule="auto"/>
            </w:pPr>
            <w:r>
              <w:t>6.7</w:t>
            </w:r>
          </w:p>
        </w:tc>
        <w:tc>
          <w:tcPr>
            <w:tcW w:w="1350" w:type="dxa"/>
          </w:tcPr>
          <w:p w14:paraId="68EA714D" w14:textId="77777777" w:rsidR="00987F26" w:rsidRPr="003F5A61" w:rsidRDefault="00987F26" w:rsidP="00987F26">
            <w:pPr>
              <w:spacing w:line="480" w:lineRule="auto"/>
            </w:pPr>
          </w:p>
        </w:tc>
        <w:tc>
          <w:tcPr>
            <w:tcW w:w="2834" w:type="dxa"/>
          </w:tcPr>
          <w:p w14:paraId="050992D5" w14:textId="77777777" w:rsidR="00987F26" w:rsidRPr="003F5A61" w:rsidRDefault="00987F26" w:rsidP="00987F26">
            <w:pPr>
              <w:spacing w:line="480" w:lineRule="auto"/>
            </w:pPr>
          </w:p>
        </w:tc>
      </w:tr>
      <w:tr w:rsidR="00987F26" w:rsidRPr="003F5A61" w14:paraId="03534990" w14:textId="77777777" w:rsidTr="00987F26">
        <w:tc>
          <w:tcPr>
            <w:tcW w:w="1728" w:type="dxa"/>
          </w:tcPr>
          <w:p w14:paraId="0E977A8D" w14:textId="77777777" w:rsidR="00987F26" w:rsidRPr="003F5A61" w:rsidRDefault="00987F26" w:rsidP="00987F26">
            <w:pPr>
              <w:spacing w:line="480" w:lineRule="auto"/>
            </w:pPr>
            <w:r>
              <w:t>1.00E+06</w:t>
            </w:r>
          </w:p>
        </w:tc>
        <w:tc>
          <w:tcPr>
            <w:tcW w:w="1620" w:type="dxa"/>
          </w:tcPr>
          <w:p w14:paraId="64452BB7" w14:textId="77777777" w:rsidR="00987F26" w:rsidRPr="003F5A61" w:rsidRDefault="00987F26" w:rsidP="00987F26">
            <w:pPr>
              <w:spacing w:line="480" w:lineRule="auto"/>
            </w:pPr>
            <w:r>
              <w:t>0</w:t>
            </w:r>
          </w:p>
        </w:tc>
        <w:tc>
          <w:tcPr>
            <w:tcW w:w="1710" w:type="dxa"/>
          </w:tcPr>
          <w:p w14:paraId="4CAB0A09" w14:textId="77777777" w:rsidR="00987F26" w:rsidRPr="003F5A61" w:rsidRDefault="00987F26" w:rsidP="00987F26">
            <w:pPr>
              <w:spacing w:line="480" w:lineRule="auto"/>
            </w:pPr>
            <w:r>
              <w:t>32.8</w:t>
            </w:r>
          </w:p>
        </w:tc>
        <w:tc>
          <w:tcPr>
            <w:tcW w:w="1350" w:type="dxa"/>
          </w:tcPr>
          <w:p w14:paraId="58ACCD17" w14:textId="77777777" w:rsidR="00987F26" w:rsidRPr="003F5A61" w:rsidRDefault="00987F26" w:rsidP="00987F26">
            <w:pPr>
              <w:spacing w:line="480" w:lineRule="auto"/>
            </w:pPr>
          </w:p>
        </w:tc>
        <w:tc>
          <w:tcPr>
            <w:tcW w:w="2834" w:type="dxa"/>
          </w:tcPr>
          <w:p w14:paraId="7844D2AE" w14:textId="77777777" w:rsidR="00987F26" w:rsidRPr="003F5A61" w:rsidRDefault="00987F26" w:rsidP="00987F26">
            <w:pPr>
              <w:spacing w:line="480" w:lineRule="auto"/>
            </w:pPr>
          </w:p>
        </w:tc>
      </w:tr>
      <w:tr w:rsidR="00987F26" w:rsidRPr="003F5A61" w14:paraId="57C7F299" w14:textId="77777777" w:rsidTr="00987F26">
        <w:tc>
          <w:tcPr>
            <w:tcW w:w="1728" w:type="dxa"/>
          </w:tcPr>
          <w:p w14:paraId="2D39BF9A" w14:textId="77777777" w:rsidR="00987F26" w:rsidRPr="003F5A61" w:rsidRDefault="00987F26" w:rsidP="00987F26">
            <w:pPr>
              <w:spacing w:line="480" w:lineRule="auto"/>
            </w:pPr>
            <w:r>
              <w:t>1.00E+07</w:t>
            </w:r>
          </w:p>
        </w:tc>
        <w:tc>
          <w:tcPr>
            <w:tcW w:w="1620" w:type="dxa"/>
          </w:tcPr>
          <w:p w14:paraId="1B7849D2" w14:textId="77777777" w:rsidR="00987F26" w:rsidRPr="003F5A61" w:rsidRDefault="00987F26" w:rsidP="00987F26">
            <w:pPr>
              <w:spacing w:line="480" w:lineRule="auto"/>
            </w:pPr>
            <w:r>
              <w:t>0</w:t>
            </w:r>
          </w:p>
        </w:tc>
        <w:tc>
          <w:tcPr>
            <w:tcW w:w="1710" w:type="dxa"/>
          </w:tcPr>
          <w:p w14:paraId="70B4C3B8" w14:textId="77777777" w:rsidR="00987F26" w:rsidRPr="003F5A61" w:rsidRDefault="00987F26" w:rsidP="00987F26">
            <w:pPr>
              <w:spacing w:line="480" w:lineRule="auto"/>
            </w:pPr>
            <w:r>
              <w:t>45.9</w:t>
            </w:r>
          </w:p>
        </w:tc>
        <w:tc>
          <w:tcPr>
            <w:tcW w:w="1350" w:type="dxa"/>
          </w:tcPr>
          <w:p w14:paraId="61C56027" w14:textId="77777777" w:rsidR="00987F26" w:rsidRPr="003F5A61" w:rsidRDefault="00987F26" w:rsidP="00987F26">
            <w:pPr>
              <w:spacing w:line="480" w:lineRule="auto"/>
            </w:pPr>
          </w:p>
        </w:tc>
        <w:tc>
          <w:tcPr>
            <w:tcW w:w="2834" w:type="dxa"/>
          </w:tcPr>
          <w:p w14:paraId="6C06B12D" w14:textId="77777777" w:rsidR="00987F26" w:rsidRPr="003F5A61" w:rsidRDefault="00987F26" w:rsidP="00987F26">
            <w:pPr>
              <w:spacing w:line="480" w:lineRule="auto"/>
            </w:pPr>
          </w:p>
        </w:tc>
      </w:tr>
      <w:tr w:rsidR="00987F26" w:rsidRPr="003F5A61" w14:paraId="1ACE4B65" w14:textId="77777777" w:rsidTr="00987F26">
        <w:tc>
          <w:tcPr>
            <w:tcW w:w="1728" w:type="dxa"/>
          </w:tcPr>
          <w:p w14:paraId="2CB2BD1D" w14:textId="77777777" w:rsidR="00987F26" w:rsidRPr="003F5A61" w:rsidRDefault="00987F26" w:rsidP="00987F26">
            <w:pPr>
              <w:spacing w:line="480" w:lineRule="auto"/>
            </w:pPr>
            <w:r>
              <w:t>1.00E+07</w:t>
            </w:r>
          </w:p>
        </w:tc>
        <w:tc>
          <w:tcPr>
            <w:tcW w:w="1620" w:type="dxa"/>
          </w:tcPr>
          <w:p w14:paraId="600DB9BB" w14:textId="77777777" w:rsidR="00987F26" w:rsidRPr="003F5A61" w:rsidRDefault="00987F26" w:rsidP="00987F26">
            <w:pPr>
              <w:spacing w:line="480" w:lineRule="auto"/>
            </w:pPr>
            <w:r>
              <w:t>0</w:t>
            </w:r>
          </w:p>
        </w:tc>
        <w:tc>
          <w:tcPr>
            <w:tcW w:w="1710" w:type="dxa"/>
          </w:tcPr>
          <w:p w14:paraId="099B1D9E" w14:textId="77777777" w:rsidR="00987F26" w:rsidRPr="003F5A61" w:rsidRDefault="00987F26" w:rsidP="00987F26">
            <w:pPr>
              <w:spacing w:line="480" w:lineRule="auto"/>
            </w:pPr>
            <w:r>
              <w:t>71.4</w:t>
            </w:r>
          </w:p>
        </w:tc>
        <w:tc>
          <w:tcPr>
            <w:tcW w:w="1350" w:type="dxa"/>
          </w:tcPr>
          <w:p w14:paraId="1ECBF258" w14:textId="77777777" w:rsidR="00987F26" w:rsidRPr="003F5A61" w:rsidRDefault="00987F26" w:rsidP="00987F26">
            <w:pPr>
              <w:spacing w:line="480" w:lineRule="auto"/>
            </w:pPr>
          </w:p>
        </w:tc>
        <w:tc>
          <w:tcPr>
            <w:tcW w:w="2834" w:type="dxa"/>
          </w:tcPr>
          <w:p w14:paraId="111CD970" w14:textId="77777777" w:rsidR="00987F26" w:rsidRPr="003F5A61" w:rsidRDefault="00987F26" w:rsidP="00987F26">
            <w:pPr>
              <w:spacing w:line="480" w:lineRule="auto"/>
            </w:pPr>
          </w:p>
        </w:tc>
      </w:tr>
      <w:tr w:rsidR="00987F26" w:rsidRPr="003F5A61" w14:paraId="09850933" w14:textId="77777777" w:rsidTr="00987F26">
        <w:tc>
          <w:tcPr>
            <w:tcW w:w="1728" w:type="dxa"/>
          </w:tcPr>
          <w:p w14:paraId="772F33E2" w14:textId="77777777" w:rsidR="00987F26" w:rsidRPr="003F5A61" w:rsidRDefault="00987F26" w:rsidP="00987F26">
            <w:pPr>
              <w:spacing w:line="480" w:lineRule="auto"/>
            </w:pPr>
            <w:r>
              <w:t>0</w:t>
            </w:r>
          </w:p>
        </w:tc>
        <w:tc>
          <w:tcPr>
            <w:tcW w:w="1620" w:type="dxa"/>
          </w:tcPr>
          <w:p w14:paraId="68E66F44" w14:textId="77777777" w:rsidR="00987F26" w:rsidRPr="003F5A61" w:rsidRDefault="00987F26" w:rsidP="00987F26">
            <w:pPr>
              <w:spacing w:line="480" w:lineRule="auto"/>
            </w:pPr>
            <w:r>
              <w:t>22</w:t>
            </w:r>
          </w:p>
        </w:tc>
        <w:tc>
          <w:tcPr>
            <w:tcW w:w="1710" w:type="dxa"/>
          </w:tcPr>
          <w:p w14:paraId="6B4781CE" w14:textId="77777777" w:rsidR="00987F26" w:rsidRPr="003F5A61" w:rsidRDefault="00987F26" w:rsidP="00987F26">
            <w:pPr>
              <w:spacing w:line="480" w:lineRule="auto"/>
            </w:pPr>
            <w:r>
              <w:t>28.3</w:t>
            </w:r>
          </w:p>
        </w:tc>
        <w:tc>
          <w:tcPr>
            <w:tcW w:w="1350" w:type="dxa"/>
          </w:tcPr>
          <w:p w14:paraId="314BB093" w14:textId="77777777" w:rsidR="00987F26" w:rsidRPr="003F5A61" w:rsidRDefault="00987F26" w:rsidP="00987F26">
            <w:pPr>
              <w:spacing w:line="480" w:lineRule="auto"/>
            </w:pPr>
          </w:p>
        </w:tc>
        <w:tc>
          <w:tcPr>
            <w:tcW w:w="2834" w:type="dxa"/>
          </w:tcPr>
          <w:p w14:paraId="3FC1D13E" w14:textId="77777777" w:rsidR="00987F26" w:rsidRPr="003F5A61" w:rsidRDefault="00987F26" w:rsidP="00987F26">
            <w:pPr>
              <w:spacing w:line="480" w:lineRule="auto"/>
            </w:pPr>
          </w:p>
        </w:tc>
      </w:tr>
      <w:tr w:rsidR="00987F26" w:rsidRPr="003F5A61" w14:paraId="7168797D" w14:textId="77777777" w:rsidTr="00987F26">
        <w:tc>
          <w:tcPr>
            <w:tcW w:w="1728" w:type="dxa"/>
          </w:tcPr>
          <w:p w14:paraId="4FBE9C8E" w14:textId="77777777" w:rsidR="00987F26" w:rsidRPr="003F5A61" w:rsidRDefault="00987F26" w:rsidP="00987F26">
            <w:pPr>
              <w:spacing w:line="480" w:lineRule="auto"/>
            </w:pPr>
            <w:r>
              <w:t>0</w:t>
            </w:r>
          </w:p>
        </w:tc>
        <w:tc>
          <w:tcPr>
            <w:tcW w:w="1620" w:type="dxa"/>
          </w:tcPr>
          <w:p w14:paraId="5E88C1CF" w14:textId="77777777" w:rsidR="00987F26" w:rsidRPr="003F5A61" w:rsidRDefault="00987F26" w:rsidP="00987F26">
            <w:pPr>
              <w:spacing w:line="480" w:lineRule="auto"/>
            </w:pPr>
            <w:r>
              <w:t>66</w:t>
            </w:r>
          </w:p>
        </w:tc>
        <w:tc>
          <w:tcPr>
            <w:tcW w:w="1710" w:type="dxa"/>
          </w:tcPr>
          <w:p w14:paraId="3F801451" w14:textId="77777777" w:rsidR="00987F26" w:rsidRPr="003F5A61" w:rsidRDefault="00987F26" w:rsidP="00987F26">
            <w:pPr>
              <w:spacing w:line="480" w:lineRule="auto"/>
            </w:pPr>
            <w:r>
              <w:t>14.1</w:t>
            </w:r>
          </w:p>
        </w:tc>
        <w:tc>
          <w:tcPr>
            <w:tcW w:w="1350" w:type="dxa"/>
          </w:tcPr>
          <w:p w14:paraId="2F983368" w14:textId="77777777" w:rsidR="00987F26" w:rsidRPr="003F5A61" w:rsidRDefault="00987F26" w:rsidP="00987F26">
            <w:pPr>
              <w:spacing w:line="480" w:lineRule="auto"/>
            </w:pPr>
          </w:p>
        </w:tc>
        <w:tc>
          <w:tcPr>
            <w:tcW w:w="2834" w:type="dxa"/>
          </w:tcPr>
          <w:p w14:paraId="7CF8D74C" w14:textId="77777777" w:rsidR="00987F26" w:rsidRPr="003F5A61" w:rsidRDefault="00987F26" w:rsidP="00987F26">
            <w:pPr>
              <w:spacing w:line="480" w:lineRule="auto"/>
            </w:pPr>
          </w:p>
        </w:tc>
      </w:tr>
      <w:tr w:rsidR="00987F26" w:rsidRPr="003F5A61" w14:paraId="2BFFF6F6" w14:textId="77777777" w:rsidTr="00987F26">
        <w:tc>
          <w:tcPr>
            <w:tcW w:w="1728" w:type="dxa"/>
          </w:tcPr>
          <w:p w14:paraId="5009AC6A" w14:textId="77777777" w:rsidR="00987F26" w:rsidRPr="003F5A61" w:rsidRDefault="00987F26" w:rsidP="00987F26">
            <w:pPr>
              <w:spacing w:line="480" w:lineRule="auto"/>
            </w:pPr>
            <w:r>
              <w:t>0</w:t>
            </w:r>
          </w:p>
        </w:tc>
        <w:tc>
          <w:tcPr>
            <w:tcW w:w="1620" w:type="dxa"/>
          </w:tcPr>
          <w:p w14:paraId="1E285007" w14:textId="77777777" w:rsidR="00987F26" w:rsidRPr="003F5A61" w:rsidRDefault="00987F26" w:rsidP="00987F26">
            <w:pPr>
              <w:spacing w:line="480" w:lineRule="auto"/>
            </w:pPr>
            <w:r>
              <w:t>200</w:t>
            </w:r>
          </w:p>
        </w:tc>
        <w:tc>
          <w:tcPr>
            <w:tcW w:w="1710" w:type="dxa"/>
          </w:tcPr>
          <w:p w14:paraId="0B92D724" w14:textId="77777777" w:rsidR="00987F26" w:rsidRPr="003F5A61" w:rsidRDefault="00987F26" w:rsidP="00987F26">
            <w:pPr>
              <w:spacing w:line="480" w:lineRule="auto"/>
            </w:pPr>
            <w:r>
              <w:t>61.2</w:t>
            </w:r>
          </w:p>
        </w:tc>
        <w:tc>
          <w:tcPr>
            <w:tcW w:w="1350" w:type="dxa"/>
          </w:tcPr>
          <w:p w14:paraId="1B543534" w14:textId="77777777" w:rsidR="00987F26" w:rsidRPr="003F5A61" w:rsidRDefault="00987F26" w:rsidP="00987F26">
            <w:pPr>
              <w:spacing w:line="480" w:lineRule="auto"/>
            </w:pPr>
          </w:p>
        </w:tc>
        <w:tc>
          <w:tcPr>
            <w:tcW w:w="2834" w:type="dxa"/>
          </w:tcPr>
          <w:p w14:paraId="0889DD6B" w14:textId="77777777" w:rsidR="00987F26" w:rsidRPr="003F5A61" w:rsidRDefault="00987F26" w:rsidP="00987F26">
            <w:pPr>
              <w:spacing w:line="480" w:lineRule="auto"/>
            </w:pPr>
          </w:p>
        </w:tc>
      </w:tr>
      <w:tr w:rsidR="00987F26" w:rsidRPr="003F5A61" w14:paraId="5FD8C048" w14:textId="77777777" w:rsidTr="00987F26">
        <w:tc>
          <w:tcPr>
            <w:tcW w:w="1728" w:type="dxa"/>
          </w:tcPr>
          <w:p w14:paraId="15B211D6" w14:textId="77777777" w:rsidR="00987F26" w:rsidRPr="003F5A61" w:rsidRDefault="00987F26" w:rsidP="00987F26">
            <w:pPr>
              <w:spacing w:line="480" w:lineRule="auto"/>
            </w:pPr>
            <w:r>
              <w:t>1.00E+07</w:t>
            </w:r>
          </w:p>
        </w:tc>
        <w:tc>
          <w:tcPr>
            <w:tcW w:w="1620" w:type="dxa"/>
          </w:tcPr>
          <w:p w14:paraId="6B6309BE" w14:textId="77777777" w:rsidR="00987F26" w:rsidRPr="003F5A61" w:rsidRDefault="00987F26" w:rsidP="00987F26">
            <w:pPr>
              <w:spacing w:line="480" w:lineRule="auto"/>
            </w:pPr>
            <w:r>
              <w:t>22</w:t>
            </w:r>
          </w:p>
        </w:tc>
        <w:tc>
          <w:tcPr>
            <w:tcW w:w="1710" w:type="dxa"/>
          </w:tcPr>
          <w:p w14:paraId="5179B768" w14:textId="77777777" w:rsidR="00987F26" w:rsidRPr="003F5A61" w:rsidRDefault="00987F26" w:rsidP="00987F26">
            <w:pPr>
              <w:spacing w:line="480" w:lineRule="auto"/>
            </w:pPr>
            <w:r>
              <w:t>61.9</w:t>
            </w:r>
          </w:p>
        </w:tc>
        <w:tc>
          <w:tcPr>
            <w:tcW w:w="1350" w:type="dxa"/>
          </w:tcPr>
          <w:p w14:paraId="457DF483" w14:textId="77777777" w:rsidR="00987F26" w:rsidRPr="003F5A61" w:rsidRDefault="00987F26" w:rsidP="00987F26">
            <w:pPr>
              <w:spacing w:line="480" w:lineRule="auto"/>
            </w:pPr>
            <w:r>
              <w:t>0.496</w:t>
            </w:r>
          </w:p>
        </w:tc>
        <w:tc>
          <w:tcPr>
            <w:tcW w:w="2834" w:type="dxa"/>
          </w:tcPr>
          <w:p w14:paraId="0C1A165E" w14:textId="77777777" w:rsidR="00987F26" w:rsidRPr="003F5A61" w:rsidRDefault="00987F26" w:rsidP="00987F26">
            <w:pPr>
              <w:spacing w:line="480" w:lineRule="auto"/>
            </w:pPr>
            <w:r>
              <w:t>Synergism</w:t>
            </w:r>
          </w:p>
        </w:tc>
      </w:tr>
      <w:tr w:rsidR="00987F26" w:rsidRPr="003F5A61" w14:paraId="1EEBCB84" w14:textId="77777777" w:rsidTr="00987F26">
        <w:tc>
          <w:tcPr>
            <w:tcW w:w="1728" w:type="dxa"/>
          </w:tcPr>
          <w:p w14:paraId="19556379" w14:textId="77777777" w:rsidR="00987F26" w:rsidRPr="003F5A61" w:rsidRDefault="00987F26" w:rsidP="00987F26">
            <w:pPr>
              <w:spacing w:line="480" w:lineRule="auto"/>
            </w:pPr>
            <w:r>
              <w:t>1.00E+07</w:t>
            </w:r>
          </w:p>
        </w:tc>
        <w:tc>
          <w:tcPr>
            <w:tcW w:w="1620" w:type="dxa"/>
          </w:tcPr>
          <w:p w14:paraId="7BD5E036" w14:textId="77777777" w:rsidR="00987F26" w:rsidRPr="003F5A61" w:rsidRDefault="00987F26" w:rsidP="00987F26">
            <w:pPr>
              <w:spacing w:line="480" w:lineRule="auto"/>
            </w:pPr>
            <w:r>
              <w:t>66</w:t>
            </w:r>
          </w:p>
        </w:tc>
        <w:tc>
          <w:tcPr>
            <w:tcW w:w="1710" w:type="dxa"/>
          </w:tcPr>
          <w:p w14:paraId="57076DDA" w14:textId="77777777" w:rsidR="00987F26" w:rsidRPr="003F5A61" w:rsidRDefault="00987F26" w:rsidP="00987F26">
            <w:pPr>
              <w:spacing w:line="480" w:lineRule="auto"/>
            </w:pPr>
            <w:r>
              <w:t>89.3</w:t>
            </w:r>
          </w:p>
        </w:tc>
        <w:tc>
          <w:tcPr>
            <w:tcW w:w="1350" w:type="dxa"/>
          </w:tcPr>
          <w:p w14:paraId="530E364F" w14:textId="77777777" w:rsidR="00987F26" w:rsidRPr="003F5A61" w:rsidRDefault="00987F26" w:rsidP="00987F26">
            <w:pPr>
              <w:spacing w:line="480" w:lineRule="auto"/>
            </w:pPr>
            <w:r>
              <w:t>0.031</w:t>
            </w:r>
          </w:p>
        </w:tc>
        <w:tc>
          <w:tcPr>
            <w:tcW w:w="2834" w:type="dxa"/>
          </w:tcPr>
          <w:p w14:paraId="6346670A" w14:textId="77777777" w:rsidR="00987F26" w:rsidRPr="003F5A61" w:rsidRDefault="00987F26" w:rsidP="00987F26">
            <w:pPr>
              <w:spacing w:line="480" w:lineRule="auto"/>
            </w:pPr>
            <w:r>
              <w:t>Very Strong Synergism</w:t>
            </w:r>
          </w:p>
        </w:tc>
      </w:tr>
      <w:tr w:rsidR="00987F26" w:rsidRPr="003F5A61" w14:paraId="70F9F673" w14:textId="77777777" w:rsidTr="00987F26">
        <w:tc>
          <w:tcPr>
            <w:tcW w:w="1728" w:type="dxa"/>
          </w:tcPr>
          <w:p w14:paraId="56EB5B79" w14:textId="77777777" w:rsidR="00987F26" w:rsidRPr="003F5A61" w:rsidRDefault="00987F26" w:rsidP="00987F26">
            <w:pPr>
              <w:spacing w:line="480" w:lineRule="auto"/>
            </w:pPr>
            <w:r>
              <w:t>1.00E+07</w:t>
            </w:r>
          </w:p>
        </w:tc>
        <w:tc>
          <w:tcPr>
            <w:tcW w:w="1620" w:type="dxa"/>
          </w:tcPr>
          <w:p w14:paraId="1E21069A" w14:textId="77777777" w:rsidR="00987F26" w:rsidRPr="003F5A61" w:rsidRDefault="00987F26" w:rsidP="00987F26">
            <w:pPr>
              <w:spacing w:line="480" w:lineRule="auto"/>
            </w:pPr>
            <w:r>
              <w:t>200</w:t>
            </w:r>
          </w:p>
        </w:tc>
        <w:tc>
          <w:tcPr>
            <w:tcW w:w="1710" w:type="dxa"/>
          </w:tcPr>
          <w:p w14:paraId="74070D05" w14:textId="77777777" w:rsidR="00987F26" w:rsidRPr="003F5A61" w:rsidRDefault="00987F26" w:rsidP="00987F26">
            <w:pPr>
              <w:spacing w:line="480" w:lineRule="auto"/>
            </w:pPr>
            <w:r>
              <w:t>84.1</w:t>
            </w:r>
          </w:p>
        </w:tc>
        <w:tc>
          <w:tcPr>
            <w:tcW w:w="1350" w:type="dxa"/>
          </w:tcPr>
          <w:p w14:paraId="4D8B792B" w14:textId="77777777" w:rsidR="00987F26" w:rsidRPr="003F5A61" w:rsidRDefault="00987F26" w:rsidP="00987F26">
            <w:pPr>
              <w:spacing w:line="480" w:lineRule="auto"/>
            </w:pPr>
            <w:r>
              <w:t>0.114</w:t>
            </w:r>
          </w:p>
        </w:tc>
        <w:tc>
          <w:tcPr>
            <w:tcW w:w="2834" w:type="dxa"/>
          </w:tcPr>
          <w:p w14:paraId="7AB4464D" w14:textId="77777777" w:rsidR="00987F26" w:rsidRPr="003F5A61" w:rsidRDefault="00987F26" w:rsidP="00987F26">
            <w:pPr>
              <w:spacing w:line="480" w:lineRule="auto"/>
            </w:pPr>
            <w:r>
              <w:t>Strong Synergism</w:t>
            </w:r>
          </w:p>
        </w:tc>
      </w:tr>
    </w:tbl>
    <w:p w14:paraId="40708AFF" w14:textId="77777777" w:rsidR="00987F26" w:rsidRPr="00F03E6F" w:rsidRDefault="00987F26" w:rsidP="00987F26">
      <w:pPr>
        <w:spacing w:line="480" w:lineRule="auto"/>
      </w:pPr>
      <w:r>
        <w:rPr>
          <w:lang w:val="en-US"/>
        </w:rPr>
        <w:t>BALB/c m</w:t>
      </w:r>
      <w:r w:rsidRPr="003F5A61">
        <w:rPr>
          <w:lang w:val="en-US"/>
        </w:rPr>
        <w:t>ice were implanted with CT26-HER-2 cells on day 1 (i.d.) and treated wit</w:t>
      </w:r>
      <w:r>
        <w:rPr>
          <w:lang w:val="en-US"/>
        </w:rPr>
        <w:t xml:space="preserve">h MVA-BN-HER2 and anti-PD-1 at doses indicated in the tables. Tumor growth inhibition was calculated from the untreated control. A combination index was calculated with the </w:t>
      </w:r>
      <w:r w:rsidRPr="00583688">
        <w:rPr>
          <w:lang w:val="en-US"/>
        </w:rPr>
        <w:t>using the Chou-Talalay method and CompuSyn Software</w:t>
      </w:r>
      <w:r>
        <w:rPr>
          <w:lang w:val="en-US"/>
        </w:rPr>
        <w:t>.</w:t>
      </w:r>
    </w:p>
    <w:p w14:paraId="38911DCC" w14:textId="77777777" w:rsidR="00D0153D" w:rsidRDefault="00D0153D"/>
    <w:sectPr w:rsidR="00D0153D" w:rsidSect="00987F26">
      <w:footerReference w:type="even" r:id="rId6"/>
      <w:footerReference w:type="default" r:id="rId7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8AFDCA" w14:textId="77777777" w:rsidR="00EF4391" w:rsidRDefault="00EF4391">
      <w:pPr>
        <w:spacing w:after="0" w:line="240" w:lineRule="auto"/>
      </w:pPr>
      <w:r>
        <w:separator/>
      </w:r>
    </w:p>
  </w:endnote>
  <w:endnote w:type="continuationSeparator" w:id="0">
    <w:p w14:paraId="7F4B6175" w14:textId="77777777" w:rsidR="00EF4391" w:rsidRDefault="00EF4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C1F709" w14:textId="77777777" w:rsidR="00987F26" w:rsidRDefault="00987F26" w:rsidP="00987F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E2ED72E" w14:textId="77777777" w:rsidR="00987F26" w:rsidRDefault="00987F2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319A51" w14:textId="77777777" w:rsidR="00987F26" w:rsidRDefault="00987F26" w:rsidP="00987F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907A2">
      <w:rPr>
        <w:rStyle w:val="PageNumber"/>
        <w:noProof/>
      </w:rPr>
      <w:t>2</w:t>
    </w:r>
    <w:r>
      <w:rPr>
        <w:rStyle w:val="PageNumber"/>
      </w:rPr>
      <w:fldChar w:fldCharType="end"/>
    </w:r>
  </w:p>
  <w:p w14:paraId="26F9E42D" w14:textId="77777777" w:rsidR="00987F26" w:rsidRDefault="00987F26" w:rsidP="00987F26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ED3E36" w14:textId="77777777" w:rsidR="00EF4391" w:rsidRDefault="00EF4391">
      <w:pPr>
        <w:spacing w:after="0" w:line="240" w:lineRule="auto"/>
      </w:pPr>
      <w:r>
        <w:separator/>
      </w:r>
    </w:p>
  </w:footnote>
  <w:footnote w:type="continuationSeparator" w:id="0">
    <w:p w14:paraId="0296BDA4" w14:textId="77777777" w:rsidR="00EF4391" w:rsidRDefault="00EF43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F26"/>
    <w:rsid w:val="000907A2"/>
    <w:rsid w:val="005F49C7"/>
    <w:rsid w:val="00987F26"/>
    <w:rsid w:val="00B32F7B"/>
    <w:rsid w:val="00D0153D"/>
    <w:rsid w:val="00EF4391"/>
    <w:rsid w:val="00F84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7287E9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7F26"/>
    <w:pPr>
      <w:spacing w:after="200" w:line="276" w:lineRule="auto"/>
    </w:pPr>
    <w:rPr>
      <w:rFonts w:ascii="Trebuchet MS" w:eastAsia="SimSun" w:hAnsi="Trebuchet MS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87F26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987F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7F26"/>
    <w:rPr>
      <w:rFonts w:ascii="Trebuchet MS" w:eastAsia="SimSun" w:hAnsi="Trebuchet MS"/>
      <w:sz w:val="22"/>
      <w:szCs w:val="22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987F26"/>
  </w:style>
  <w:style w:type="character" w:styleId="LineNumber">
    <w:name w:val="line number"/>
    <w:basedOn w:val="DefaultParagraphFont"/>
    <w:uiPriority w:val="99"/>
    <w:semiHidden/>
    <w:unhideWhenUsed/>
    <w:rsid w:val="00987F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614</Characters>
  <Application>Microsoft Macintosh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Foy</dc:creator>
  <cp:keywords/>
  <dc:description/>
  <cp:lastModifiedBy>Steven Foy</cp:lastModifiedBy>
  <cp:revision>3</cp:revision>
  <dcterms:created xsi:type="dcterms:W3CDTF">2016-02-13T20:51:00Z</dcterms:created>
  <dcterms:modified xsi:type="dcterms:W3CDTF">2016-02-13T20:51:00Z</dcterms:modified>
</cp:coreProperties>
</file>