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7C" w:rsidRPr="00973D75" w:rsidRDefault="005E287C" w:rsidP="005E287C">
      <w:pPr>
        <w:rPr>
          <w:b/>
        </w:rPr>
      </w:pPr>
      <w:r>
        <w:rPr>
          <w:b/>
        </w:rPr>
        <w:t>S</w:t>
      </w:r>
      <w:r w:rsidR="009B12BE">
        <w:rPr>
          <w:b/>
        </w:rPr>
        <w:t>1</w:t>
      </w:r>
      <w:bookmarkStart w:id="0" w:name="_GoBack"/>
      <w:bookmarkEnd w:id="0"/>
      <w:r>
        <w:rPr>
          <w:b/>
        </w:rPr>
        <w:t xml:space="preserve"> </w:t>
      </w:r>
      <w:r w:rsidRPr="00973D75">
        <w:rPr>
          <w:b/>
        </w:rPr>
        <w:t xml:space="preserve">Appendix Comparison of the observed incidence of Community Acquired Pneumonia by Rodrigo et al. with the observed incidence in the </w:t>
      </w:r>
      <w:proofErr w:type="spellStart"/>
      <w:r w:rsidRPr="00973D75">
        <w:rPr>
          <w:b/>
        </w:rPr>
        <w:t>CAPiTA</w:t>
      </w:r>
      <w:proofErr w:type="spellEnd"/>
      <w:r w:rsidRPr="00973D75">
        <w:rPr>
          <w:b/>
        </w:rPr>
        <w:t xml:space="preserve"> trial and the incidence of J18 in the hospital.</w:t>
      </w:r>
    </w:p>
    <w:p w:rsidR="005E287C" w:rsidRDefault="005E287C" w:rsidP="005E287C">
      <w:r>
        <w:t xml:space="preserve">In the analysis the incidence for CAP was based on the study by Rodrigo and colleagues [1]. To estimate the robustness of these a comparison was made between their findings and the observed incidence in the </w:t>
      </w:r>
      <w:proofErr w:type="spellStart"/>
      <w:r>
        <w:t>CAPiTA</w:t>
      </w:r>
      <w:proofErr w:type="spellEnd"/>
      <w:r>
        <w:t xml:space="preserve"> trial and in the Hospital Episode Statistics.</w:t>
      </w:r>
    </w:p>
    <w:p w:rsidR="005E287C" w:rsidRDefault="005E287C" w:rsidP="005E287C">
      <w:r>
        <w:t xml:space="preserve">The applied case-definition to identify CAP and pneumococcal CAP was similar between Rodrigo et al. and the </w:t>
      </w:r>
      <w:proofErr w:type="spellStart"/>
      <w:r>
        <w:t>CAPiTA</w:t>
      </w:r>
      <w:proofErr w:type="spellEnd"/>
      <w:r>
        <w:t xml:space="preserve"> trial. </w:t>
      </w:r>
    </w:p>
    <w:p w:rsidR="005E287C" w:rsidRDefault="005E287C" w:rsidP="005E287C">
      <w:pPr>
        <w:autoSpaceDE w:val="0"/>
        <w:autoSpaceDN w:val="0"/>
        <w:adjustRightInd w:val="0"/>
        <w:spacing w:after="0" w:line="240" w:lineRule="auto"/>
      </w:pPr>
      <w:r w:rsidRPr="00973D75">
        <w:rPr>
          <w:b/>
        </w:rPr>
        <w:t>Rodrigo et al.:</w:t>
      </w:r>
      <w:r>
        <w:t xml:space="preserve"> A</w:t>
      </w:r>
      <w:r w:rsidRPr="00DD075E">
        <w:t>t least one of breathlessness, cough, sputum or</w:t>
      </w:r>
      <w:r>
        <w:t xml:space="preserve"> </w:t>
      </w:r>
      <w:r w:rsidRPr="00DD075E">
        <w:t>fever, with new infiltrates on chest radiography consistent with pneumonia, and treated by the admitting</w:t>
      </w:r>
      <w:r>
        <w:t xml:space="preserve"> clinical team for CAP. And for VT pneumococcal CAP:  a positive vaccine-type–specific urinary antigen test or isolation of vaccine-type </w:t>
      </w:r>
      <w:r w:rsidRPr="0077608F">
        <w:rPr>
          <w:i/>
        </w:rPr>
        <w:t xml:space="preserve">S. </w:t>
      </w:r>
      <w:proofErr w:type="spellStart"/>
      <w:r w:rsidRPr="0077608F">
        <w:rPr>
          <w:i/>
        </w:rPr>
        <w:t>pneumoniae</w:t>
      </w:r>
      <w:proofErr w:type="spellEnd"/>
      <w:r w:rsidRPr="0077608F">
        <w:rPr>
          <w:i/>
        </w:rPr>
        <w:t xml:space="preserve"> </w:t>
      </w:r>
      <w:r>
        <w:t>from blood or another sterile site.</w:t>
      </w:r>
    </w:p>
    <w:p w:rsidR="005E287C" w:rsidRDefault="005E287C" w:rsidP="005E287C">
      <w:pPr>
        <w:autoSpaceDE w:val="0"/>
        <w:autoSpaceDN w:val="0"/>
        <w:adjustRightInd w:val="0"/>
        <w:spacing w:after="0" w:line="240" w:lineRule="auto"/>
      </w:pPr>
    </w:p>
    <w:p w:rsidR="005E287C" w:rsidRDefault="005E287C" w:rsidP="005E287C">
      <w:pPr>
        <w:autoSpaceDE w:val="0"/>
        <w:autoSpaceDN w:val="0"/>
        <w:adjustRightInd w:val="0"/>
        <w:spacing w:after="0" w:line="240" w:lineRule="auto"/>
      </w:pPr>
      <w:proofErr w:type="spellStart"/>
      <w:r w:rsidRPr="00973D75">
        <w:rPr>
          <w:b/>
        </w:rPr>
        <w:t>CAPiTA</w:t>
      </w:r>
      <w:proofErr w:type="spellEnd"/>
      <w:r w:rsidRPr="00973D75">
        <w:rPr>
          <w:b/>
        </w:rPr>
        <w:t xml:space="preserve"> trial:</w:t>
      </w:r>
      <w:r>
        <w:t xml:space="preserve"> The presence of ≥2 </w:t>
      </w:r>
      <w:proofErr w:type="spellStart"/>
      <w:r>
        <w:t>prespecified</w:t>
      </w:r>
      <w:proofErr w:type="spellEnd"/>
      <w:r>
        <w:t xml:space="preserve"> clinical criteria and findings on chest radiography consistent with community-acquired pneumonia. And for VT pneumococcal CAP:  a positive vaccine-type–specific urinary antigen test or isolation of vaccine-type </w:t>
      </w:r>
      <w:r w:rsidRPr="0077608F">
        <w:rPr>
          <w:i/>
        </w:rPr>
        <w:t xml:space="preserve">S. </w:t>
      </w:r>
      <w:proofErr w:type="spellStart"/>
      <w:r w:rsidRPr="0077608F">
        <w:rPr>
          <w:i/>
        </w:rPr>
        <w:t>pneumoniae</w:t>
      </w:r>
      <w:proofErr w:type="spellEnd"/>
      <w:r>
        <w:t xml:space="preserve"> from blood or another sterile site.</w:t>
      </w:r>
    </w:p>
    <w:p w:rsidR="005E287C" w:rsidRDefault="005E287C" w:rsidP="005E287C">
      <w:pPr>
        <w:autoSpaceDE w:val="0"/>
        <w:autoSpaceDN w:val="0"/>
        <w:adjustRightInd w:val="0"/>
        <w:spacing w:after="0" w:line="240" w:lineRule="auto"/>
      </w:pPr>
    </w:p>
    <w:p w:rsidR="005E287C" w:rsidRDefault="005E287C" w:rsidP="005E287C">
      <w:pPr>
        <w:autoSpaceDE w:val="0"/>
        <w:autoSpaceDN w:val="0"/>
        <w:adjustRightInd w:val="0"/>
        <w:spacing w:after="0" w:line="240" w:lineRule="auto"/>
        <w:jc w:val="both"/>
      </w:pPr>
      <w:r>
        <w:t xml:space="preserve">To compare the incidence in the </w:t>
      </w:r>
      <w:proofErr w:type="spellStart"/>
      <w:r>
        <w:t>CAPiTA</w:t>
      </w:r>
      <w:proofErr w:type="spellEnd"/>
      <w:r>
        <w:t xml:space="preserve"> trial with Rodrigo et al. the same age distribution as the </w:t>
      </w:r>
      <w:proofErr w:type="spellStart"/>
      <w:r>
        <w:t>CAPiTA</w:t>
      </w:r>
      <w:proofErr w:type="spellEnd"/>
      <w:r>
        <w:t xml:space="preserve"> trial was applied to re-weight the incidence observed by Rodrigo et al. We used the year 2008/2009 for comparison. Table 1 shows the incidence per 100,000 as observed in the trial and equivalent incidence observed by Rodrigo et al.  Although Rodrigo et al. identified less CAP overall, the incidence of pneumococcal CAP and vaccine-type pneumococcal CAP was similar. Recently the incidence of inpatient CAP was also estimated for the Netherlands as part of a cost-effectiveness study [2], which estimated an incidence of 339 per 100.000 X-ray confirmed CAP when a similar age distribution was used as in the </w:t>
      </w:r>
      <w:proofErr w:type="spellStart"/>
      <w:r>
        <w:t>CAPiTA</w:t>
      </w:r>
      <w:proofErr w:type="spellEnd"/>
      <w:r>
        <w:t xml:space="preserve"> trial, which is somewhat in line with the observation of Rodrigo et al., in the paper is was subsequently assumed that 10% was caused by vaccine types, which will bring the VT-CAP incidence below both other estimates. </w:t>
      </w:r>
    </w:p>
    <w:p w:rsidR="005E287C" w:rsidRDefault="005E287C" w:rsidP="005E287C">
      <w:pPr>
        <w:autoSpaceDE w:val="0"/>
        <w:autoSpaceDN w:val="0"/>
        <w:adjustRightInd w:val="0"/>
        <w:spacing w:after="0" w:line="240" w:lineRule="auto"/>
      </w:pPr>
    </w:p>
    <w:p w:rsidR="005E287C" w:rsidRDefault="005E287C" w:rsidP="005E287C">
      <w:pPr>
        <w:autoSpaceDE w:val="0"/>
        <w:autoSpaceDN w:val="0"/>
        <w:adjustRightInd w:val="0"/>
        <w:spacing w:after="0" w:line="240" w:lineRule="auto"/>
      </w:pPr>
      <w:r>
        <w:t xml:space="preserve">Table 1. Incidence per 100,000 person years, applying the age distribution of those at enrolment in the </w:t>
      </w:r>
      <w:proofErr w:type="spellStart"/>
      <w:r>
        <w:t>CAPiTA</w:t>
      </w:r>
      <w:proofErr w:type="spellEnd"/>
      <w:r>
        <w:t xml:space="preserve"> trial. </w:t>
      </w:r>
    </w:p>
    <w:tbl>
      <w:tblPr>
        <w:tblStyle w:val="TableGrid"/>
        <w:tblW w:w="0" w:type="auto"/>
        <w:tblLook w:val="04A0" w:firstRow="1" w:lastRow="0" w:firstColumn="1" w:lastColumn="0" w:noHBand="0" w:noVBand="1"/>
      </w:tblPr>
      <w:tblGrid>
        <w:gridCol w:w="2804"/>
        <w:gridCol w:w="1094"/>
        <w:gridCol w:w="2619"/>
      </w:tblGrid>
      <w:tr w:rsidR="005E287C" w:rsidTr="00CB5D4A">
        <w:tc>
          <w:tcPr>
            <w:tcW w:w="2804" w:type="dxa"/>
          </w:tcPr>
          <w:p w:rsidR="005E287C" w:rsidRDefault="005E287C" w:rsidP="00CB5D4A">
            <w:pPr>
              <w:autoSpaceDE w:val="0"/>
              <w:autoSpaceDN w:val="0"/>
              <w:adjustRightInd w:val="0"/>
            </w:pPr>
          </w:p>
        </w:tc>
        <w:tc>
          <w:tcPr>
            <w:tcW w:w="1094" w:type="dxa"/>
          </w:tcPr>
          <w:p w:rsidR="005E287C" w:rsidRDefault="005E287C" w:rsidP="00CB5D4A">
            <w:pPr>
              <w:autoSpaceDE w:val="0"/>
              <w:autoSpaceDN w:val="0"/>
              <w:adjustRightInd w:val="0"/>
            </w:pPr>
            <w:proofErr w:type="spellStart"/>
            <w:r>
              <w:t>CAPiTA</w:t>
            </w:r>
            <w:proofErr w:type="spellEnd"/>
          </w:p>
        </w:tc>
        <w:tc>
          <w:tcPr>
            <w:tcW w:w="2619" w:type="dxa"/>
          </w:tcPr>
          <w:p w:rsidR="005E287C" w:rsidRDefault="005E287C" w:rsidP="00CB5D4A">
            <w:pPr>
              <w:autoSpaceDE w:val="0"/>
              <w:autoSpaceDN w:val="0"/>
              <w:adjustRightInd w:val="0"/>
            </w:pPr>
            <w:r>
              <w:t>Rodrigo et al. year 08/09</w:t>
            </w:r>
          </w:p>
        </w:tc>
      </w:tr>
      <w:tr w:rsidR="005E287C" w:rsidTr="00CB5D4A">
        <w:tc>
          <w:tcPr>
            <w:tcW w:w="2804" w:type="dxa"/>
          </w:tcPr>
          <w:p w:rsidR="005E287C" w:rsidRDefault="005E287C" w:rsidP="00CB5D4A">
            <w:pPr>
              <w:autoSpaceDE w:val="0"/>
              <w:autoSpaceDN w:val="0"/>
              <w:adjustRightInd w:val="0"/>
            </w:pPr>
            <w:r>
              <w:t>Suspected CAP</w:t>
            </w:r>
          </w:p>
        </w:tc>
        <w:tc>
          <w:tcPr>
            <w:tcW w:w="1094" w:type="dxa"/>
          </w:tcPr>
          <w:p w:rsidR="005E287C" w:rsidRDefault="005E287C" w:rsidP="00CB5D4A">
            <w:pPr>
              <w:autoSpaceDE w:val="0"/>
              <w:autoSpaceDN w:val="0"/>
              <w:adjustRightInd w:val="0"/>
              <w:jc w:val="center"/>
            </w:pPr>
            <w:r>
              <w:t>984</w:t>
            </w:r>
          </w:p>
        </w:tc>
        <w:tc>
          <w:tcPr>
            <w:tcW w:w="2619" w:type="dxa"/>
          </w:tcPr>
          <w:p w:rsidR="005E287C" w:rsidRDefault="005E287C" w:rsidP="00CB5D4A">
            <w:pPr>
              <w:autoSpaceDE w:val="0"/>
              <w:autoSpaceDN w:val="0"/>
              <w:adjustRightInd w:val="0"/>
              <w:jc w:val="center"/>
            </w:pPr>
          </w:p>
        </w:tc>
      </w:tr>
      <w:tr w:rsidR="005E287C" w:rsidTr="00CB5D4A">
        <w:tc>
          <w:tcPr>
            <w:tcW w:w="2804" w:type="dxa"/>
          </w:tcPr>
          <w:p w:rsidR="005E287C" w:rsidRDefault="005E287C" w:rsidP="00CB5D4A">
            <w:pPr>
              <w:autoSpaceDE w:val="0"/>
              <w:autoSpaceDN w:val="0"/>
              <w:adjustRightInd w:val="0"/>
            </w:pPr>
            <w:r>
              <w:t>Clinically confirmed  CAP</w:t>
            </w:r>
          </w:p>
        </w:tc>
        <w:tc>
          <w:tcPr>
            <w:tcW w:w="1094" w:type="dxa"/>
          </w:tcPr>
          <w:p w:rsidR="005E287C" w:rsidRDefault="005E287C" w:rsidP="00CB5D4A">
            <w:pPr>
              <w:autoSpaceDE w:val="0"/>
              <w:autoSpaceDN w:val="0"/>
              <w:adjustRightInd w:val="0"/>
              <w:jc w:val="center"/>
            </w:pPr>
            <w:r>
              <w:t>968</w:t>
            </w:r>
          </w:p>
        </w:tc>
        <w:tc>
          <w:tcPr>
            <w:tcW w:w="2619" w:type="dxa"/>
          </w:tcPr>
          <w:p w:rsidR="005E287C" w:rsidRDefault="005E287C" w:rsidP="00CB5D4A">
            <w:pPr>
              <w:autoSpaceDE w:val="0"/>
              <w:autoSpaceDN w:val="0"/>
              <w:adjustRightInd w:val="0"/>
              <w:jc w:val="center"/>
            </w:pPr>
          </w:p>
        </w:tc>
      </w:tr>
      <w:tr w:rsidR="005E287C" w:rsidTr="00CB5D4A">
        <w:tc>
          <w:tcPr>
            <w:tcW w:w="2804" w:type="dxa"/>
          </w:tcPr>
          <w:p w:rsidR="005E287C" w:rsidRDefault="005E287C" w:rsidP="00CB5D4A">
            <w:pPr>
              <w:autoSpaceDE w:val="0"/>
              <w:autoSpaceDN w:val="0"/>
              <w:adjustRightInd w:val="0"/>
            </w:pPr>
            <w:r>
              <w:t>CAP X-ray confirmed</w:t>
            </w:r>
          </w:p>
        </w:tc>
        <w:tc>
          <w:tcPr>
            <w:tcW w:w="1094" w:type="dxa"/>
          </w:tcPr>
          <w:p w:rsidR="005E287C" w:rsidRDefault="005E287C" w:rsidP="00CB5D4A">
            <w:pPr>
              <w:autoSpaceDE w:val="0"/>
              <w:autoSpaceDN w:val="0"/>
              <w:adjustRightInd w:val="0"/>
              <w:jc w:val="center"/>
            </w:pPr>
            <w:r>
              <w:t>609</w:t>
            </w:r>
          </w:p>
        </w:tc>
        <w:tc>
          <w:tcPr>
            <w:tcW w:w="2619" w:type="dxa"/>
          </w:tcPr>
          <w:p w:rsidR="005E287C" w:rsidRDefault="005E287C" w:rsidP="00CB5D4A">
            <w:pPr>
              <w:autoSpaceDE w:val="0"/>
              <w:autoSpaceDN w:val="0"/>
              <w:adjustRightInd w:val="0"/>
              <w:jc w:val="center"/>
            </w:pPr>
            <w:r>
              <w:t>275</w:t>
            </w:r>
          </w:p>
        </w:tc>
      </w:tr>
      <w:tr w:rsidR="005E287C" w:rsidTr="00CB5D4A">
        <w:tc>
          <w:tcPr>
            <w:tcW w:w="2804" w:type="dxa"/>
          </w:tcPr>
          <w:p w:rsidR="005E287C" w:rsidRDefault="005E287C" w:rsidP="00CB5D4A">
            <w:pPr>
              <w:autoSpaceDE w:val="0"/>
              <w:autoSpaceDN w:val="0"/>
              <w:adjustRightInd w:val="0"/>
            </w:pPr>
            <w:r>
              <w:t>Pneumococcal CAP (X-ray confirmed)</w:t>
            </w:r>
          </w:p>
        </w:tc>
        <w:tc>
          <w:tcPr>
            <w:tcW w:w="1094" w:type="dxa"/>
          </w:tcPr>
          <w:p w:rsidR="005E287C" w:rsidRDefault="005E287C" w:rsidP="00CB5D4A">
            <w:pPr>
              <w:autoSpaceDE w:val="0"/>
              <w:autoSpaceDN w:val="0"/>
              <w:adjustRightInd w:val="0"/>
              <w:jc w:val="center"/>
            </w:pPr>
            <w:r>
              <w:t>110</w:t>
            </w:r>
          </w:p>
        </w:tc>
        <w:tc>
          <w:tcPr>
            <w:tcW w:w="2619" w:type="dxa"/>
          </w:tcPr>
          <w:p w:rsidR="005E287C" w:rsidRDefault="005E287C" w:rsidP="00CB5D4A">
            <w:pPr>
              <w:autoSpaceDE w:val="0"/>
              <w:autoSpaceDN w:val="0"/>
              <w:adjustRightInd w:val="0"/>
              <w:jc w:val="center"/>
            </w:pPr>
            <w:r>
              <w:t>100</w:t>
            </w:r>
          </w:p>
        </w:tc>
      </w:tr>
      <w:tr w:rsidR="005E287C" w:rsidTr="00CB5D4A">
        <w:tc>
          <w:tcPr>
            <w:tcW w:w="2804" w:type="dxa"/>
          </w:tcPr>
          <w:p w:rsidR="005E287C" w:rsidRDefault="005E287C" w:rsidP="00CB5D4A">
            <w:pPr>
              <w:autoSpaceDE w:val="0"/>
              <w:autoSpaceDN w:val="0"/>
              <w:adjustRightInd w:val="0"/>
            </w:pPr>
            <w:r>
              <w:t>Vaccine type CAP (PCV13)</w:t>
            </w:r>
          </w:p>
        </w:tc>
        <w:tc>
          <w:tcPr>
            <w:tcW w:w="1094" w:type="dxa"/>
          </w:tcPr>
          <w:p w:rsidR="005E287C" w:rsidRDefault="005E287C" w:rsidP="00CB5D4A">
            <w:pPr>
              <w:autoSpaceDE w:val="0"/>
              <w:autoSpaceDN w:val="0"/>
              <w:adjustRightInd w:val="0"/>
              <w:jc w:val="center"/>
            </w:pPr>
            <w:r>
              <w:t>67</w:t>
            </w:r>
          </w:p>
        </w:tc>
        <w:tc>
          <w:tcPr>
            <w:tcW w:w="2619" w:type="dxa"/>
          </w:tcPr>
          <w:p w:rsidR="005E287C" w:rsidRDefault="005E287C" w:rsidP="00CB5D4A">
            <w:pPr>
              <w:autoSpaceDE w:val="0"/>
              <w:autoSpaceDN w:val="0"/>
              <w:adjustRightInd w:val="0"/>
              <w:jc w:val="center"/>
            </w:pPr>
            <w:r>
              <w:t>67</w:t>
            </w:r>
          </w:p>
        </w:tc>
      </w:tr>
    </w:tbl>
    <w:p w:rsidR="005E287C" w:rsidRDefault="005E287C" w:rsidP="005E287C">
      <w:pPr>
        <w:autoSpaceDE w:val="0"/>
        <w:autoSpaceDN w:val="0"/>
        <w:adjustRightInd w:val="0"/>
        <w:spacing w:after="0" w:line="240" w:lineRule="auto"/>
        <w:jc w:val="both"/>
      </w:pPr>
    </w:p>
    <w:p w:rsidR="005E287C" w:rsidRDefault="005E287C" w:rsidP="005E287C">
      <w:pPr>
        <w:autoSpaceDE w:val="0"/>
        <w:autoSpaceDN w:val="0"/>
        <w:adjustRightInd w:val="0"/>
        <w:spacing w:after="0" w:line="240" w:lineRule="auto"/>
        <w:jc w:val="both"/>
      </w:pPr>
      <w:r>
        <w:t xml:space="preserve">To compare the incidence observed by Rodrigo at al. (2008/09) to the incidence of J18 (unspecified pneumonia) in the hospital, the incidence observed by Rodrigo et al for vaccine types was inflated to reflect all pneumococcal CAP (applying the distribution as observed in 2008/2009), and this was </w:t>
      </w:r>
      <w:r>
        <w:lastRenderedPageBreak/>
        <w:t xml:space="preserve">expressed as a percentage of the incidence of J18 observed by Trotter and colleagues [3]. See table 2. The percentage was around 20% which is in line with the literature. The percentage due to pneumococcus could however be up to around 40%.  </w:t>
      </w:r>
    </w:p>
    <w:p w:rsidR="005E287C" w:rsidRDefault="005E287C" w:rsidP="005E287C">
      <w:pPr>
        <w:autoSpaceDE w:val="0"/>
        <w:autoSpaceDN w:val="0"/>
        <w:adjustRightInd w:val="0"/>
        <w:spacing w:after="0" w:line="240" w:lineRule="auto"/>
        <w:jc w:val="both"/>
      </w:pPr>
    </w:p>
    <w:p w:rsidR="005E287C" w:rsidRDefault="005E287C" w:rsidP="005E287C">
      <w:pPr>
        <w:autoSpaceDE w:val="0"/>
        <w:autoSpaceDN w:val="0"/>
        <w:adjustRightInd w:val="0"/>
        <w:spacing w:after="0" w:line="240" w:lineRule="auto"/>
        <w:jc w:val="both"/>
      </w:pPr>
      <w:r>
        <w:t xml:space="preserve">Table 2. Comparison Rodrigo </w:t>
      </w:r>
      <w:proofErr w:type="spellStart"/>
      <w:r>
        <w:t>etal</w:t>
      </w:r>
      <w:proofErr w:type="spellEnd"/>
      <w:r>
        <w:t xml:space="preserve">. </w:t>
      </w:r>
      <w:proofErr w:type="gramStart"/>
      <w:r>
        <w:t>with</w:t>
      </w:r>
      <w:proofErr w:type="gramEnd"/>
      <w:r>
        <w:t xml:space="preserve"> J18 in HES. </w:t>
      </w:r>
    </w:p>
    <w:p w:rsidR="005E287C" w:rsidRDefault="005E287C" w:rsidP="005E287C">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244"/>
        <w:gridCol w:w="1562"/>
        <w:gridCol w:w="1654"/>
        <w:gridCol w:w="1829"/>
        <w:gridCol w:w="1212"/>
        <w:gridCol w:w="1515"/>
      </w:tblGrid>
      <w:tr w:rsidR="005E287C" w:rsidTr="00CB5D4A">
        <w:tc>
          <w:tcPr>
            <w:tcW w:w="1411" w:type="dxa"/>
          </w:tcPr>
          <w:p w:rsidR="005E287C" w:rsidRDefault="005E287C" w:rsidP="00CB5D4A">
            <w:pPr>
              <w:autoSpaceDE w:val="0"/>
              <w:autoSpaceDN w:val="0"/>
              <w:adjustRightInd w:val="0"/>
            </w:pPr>
          </w:p>
        </w:tc>
        <w:tc>
          <w:tcPr>
            <w:tcW w:w="1679" w:type="dxa"/>
          </w:tcPr>
          <w:p w:rsidR="005E287C" w:rsidRDefault="005E287C" w:rsidP="00CB5D4A">
            <w:pPr>
              <w:autoSpaceDE w:val="0"/>
              <w:autoSpaceDN w:val="0"/>
              <w:adjustRightInd w:val="0"/>
            </w:pPr>
            <w:r>
              <w:t>Observed VT CAP Rodrigo 2008/09</w:t>
            </w:r>
          </w:p>
        </w:tc>
        <w:tc>
          <w:tcPr>
            <w:tcW w:w="1757" w:type="dxa"/>
          </w:tcPr>
          <w:p w:rsidR="005E287C" w:rsidRDefault="005E287C" w:rsidP="00CB5D4A">
            <w:pPr>
              <w:autoSpaceDE w:val="0"/>
              <w:autoSpaceDN w:val="0"/>
              <w:adjustRightInd w:val="0"/>
            </w:pPr>
            <w:r>
              <w:t>Percentage VT-types overall IPD 2008/09</w:t>
            </w:r>
          </w:p>
        </w:tc>
        <w:tc>
          <w:tcPr>
            <w:tcW w:w="1905" w:type="dxa"/>
          </w:tcPr>
          <w:p w:rsidR="005E287C" w:rsidRDefault="005E287C" w:rsidP="00CB5D4A">
            <w:pPr>
              <w:autoSpaceDE w:val="0"/>
              <w:autoSpaceDN w:val="0"/>
              <w:adjustRightInd w:val="0"/>
            </w:pPr>
            <w:r>
              <w:t>Projected pneumococcal CAP</w:t>
            </w:r>
          </w:p>
        </w:tc>
        <w:tc>
          <w:tcPr>
            <w:tcW w:w="1245" w:type="dxa"/>
          </w:tcPr>
          <w:p w:rsidR="005E287C" w:rsidRDefault="005E287C" w:rsidP="00CB5D4A">
            <w:pPr>
              <w:autoSpaceDE w:val="0"/>
              <w:autoSpaceDN w:val="0"/>
              <w:adjustRightInd w:val="0"/>
            </w:pPr>
            <w:r>
              <w:t>Observed incidence J18 (Trotter et al)</w:t>
            </w:r>
          </w:p>
        </w:tc>
        <w:tc>
          <w:tcPr>
            <w:tcW w:w="1245" w:type="dxa"/>
          </w:tcPr>
          <w:p w:rsidR="005E287C" w:rsidRDefault="005E287C" w:rsidP="00CB5D4A">
            <w:pPr>
              <w:autoSpaceDE w:val="0"/>
              <w:autoSpaceDN w:val="0"/>
              <w:adjustRightInd w:val="0"/>
            </w:pPr>
            <w:r>
              <w:t>Percentage pneumococcal CAP</w:t>
            </w:r>
          </w:p>
        </w:tc>
      </w:tr>
      <w:tr w:rsidR="005E287C" w:rsidTr="00CB5D4A">
        <w:tc>
          <w:tcPr>
            <w:tcW w:w="1411" w:type="dxa"/>
          </w:tcPr>
          <w:p w:rsidR="005E287C" w:rsidRDefault="005E287C" w:rsidP="00CB5D4A">
            <w:pPr>
              <w:autoSpaceDE w:val="0"/>
              <w:autoSpaceDN w:val="0"/>
              <w:adjustRightInd w:val="0"/>
            </w:pPr>
            <w:r>
              <w:t>65-74</w:t>
            </w:r>
          </w:p>
        </w:tc>
        <w:tc>
          <w:tcPr>
            <w:tcW w:w="1679" w:type="dxa"/>
          </w:tcPr>
          <w:p w:rsidR="005E287C" w:rsidRDefault="005E287C" w:rsidP="00CB5D4A">
            <w:pPr>
              <w:autoSpaceDE w:val="0"/>
              <w:autoSpaceDN w:val="0"/>
              <w:adjustRightInd w:val="0"/>
            </w:pPr>
            <w:r>
              <w:t>49.9</w:t>
            </w:r>
          </w:p>
        </w:tc>
        <w:tc>
          <w:tcPr>
            <w:tcW w:w="1757" w:type="dxa"/>
          </w:tcPr>
          <w:p w:rsidR="005E287C" w:rsidRDefault="005E287C" w:rsidP="00CB5D4A">
            <w:pPr>
              <w:autoSpaceDE w:val="0"/>
              <w:autoSpaceDN w:val="0"/>
              <w:adjustRightInd w:val="0"/>
            </w:pPr>
            <w:r>
              <w:t>56%</w:t>
            </w:r>
          </w:p>
        </w:tc>
        <w:tc>
          <w:tcPr>
            <w:tcW w:w="1905" w:type="dxa"/>
          </w:tcPr>
          <w:p w:rsidR="005E287C" w:rsidRDefault="005E287C" w:rsidP="00CB5D4A">
            <w:pPr>
              <w:autoSpaceDE w:val="0"/>
              <w:autoSpaceDN w:val="0"/>
              <w:adjustRightInd w:val="0"/>
            </w:pPr>
            <w:r>
              <w:t>89.1</w:t>
            </w:r>
          </w:p>
        </w:tc>
        <w:tc>
          <w:tcPr>
            <w:tcW w:w="1245" w:type="dxa"/>
          </w:tcPr>
          <w:p w:rsidR="005E287C" w:rsidRDefault="005E287C" w:rsidP="00CB5D4A">
            <w:pPr>
              <w:autoSpaceDE w:val="0"/>
              <w:autoSpaceDN w:val="0"/>
              <w:adjustRightInd w:val="0"/>
            </w:pPr>
            <w:r>
              <w:t>355</w:t>
            </w:r>
          </w:p>
        </w:tc>
        <w:tc>
          <w:tcPr>
            <w:tcW w:w="1245" w:type="dxa"/>
          </w:tcPr>
          <w:p w:rsidR="005E287C" w:rsidRDefault="005E287C" w:rsidP="00CB5D4A">
            <w:pPr>
              <w:autoSpaceDE w:val="0"/>
              <w:autoSpaceDN w:val="0"/>
              <w:adjustRightInd w:val="0"/>
            </w:pPr>
            <w:r>
              <w:t>25%</w:t>
            </w:r>
          </w:p>
        </w:tc>
      </w:tr>
      <w:tr w:rsidR="005E287C" w:rsidTr="00CB5D4A">
        <w:tc>
          <w:tcPr>
            <w:tcW w:w="1411" w:type="dxa"/>
          </w:tcPr>
          <w:p w:rsidR="005E287C" w:rsidRDefault="005E287C" w:rsidP="00CB5D4A">
            <w:pPr>
              <w:autoSpaceDE w:val="0"/>
              <w:autoSpaceDN w:val="0"/>
              <w:adjustRightInd w:val="0"/>
            </w:pPr>
            <w:r>
              <w:t>75-84</w:t>
            </w:r>
          </w:p>
        </w:tc>
        <w:tc>
          <w:tcPr>
            <w:tcW w:w="1679" w:type="dxa"/>
          </w:tcPr>
          <w:p w:rsidR="005E287C" w:rsidRDefault="005E287C" w:rsidP="00CB5D4A">
            <w:pPr>
              <w:autoSpaceDE w:val="0"/>
              <w:autoSpaceDN w:val="0"/>
              <w:adjustRightInd w:val="0"/>
            </w:pPr>
            <w:r>
              <w:t>83.8</w:t>
            </w:r>
          </w:p>
        </w:tc>
        <w:tc>
          <w:tcPr>
            <w:tcW w:w="1757" w:type="dxa"/>
          </w:tcPr>
          <w:p w:rsidR="005E287C" w:rsidRDefault="005E287C" w:rsidP="00CB5D4A">
            <w:pPr>
              <w:autoSpaceDE w:val="0"/>
              <w:autoSpaceDN w:val="0"/>
              <w:adjustRightInd w:val="0"/>
            </w:pPr>
            <w:r>
              <w:t>58%</w:t>
            </w:r>
          </w:p>
        </w:tc>
        <w:tc>
          <w:tcPr>
            <w:tcW w:w="1905" w:type="dxa"/>
          </w:tcPr>
          <w:p w:rsidR="005E287C" w:rsidRDefault="005E287C" w:rsidP="00CB5D4A">
            <w:pPr>
              <w:autoSpaceDE w:val="0"/>
              <w:autoSpaceDN w:val="0"/>
              <w:adjustRightInd w:val="0"/>
            </w:pPr>
            <w:r>
              <w:t>144.5</w:t>
            </w:r>
          </w:p>
        </w:tc>
        <w:tc>
          <w:tcPr>
            <w:tcW w:w="1245" w:type="dxa"/>
          </w:tcPr>
          <w:p w:rsidR="005E287C" w:rsidRDefault="005E287C" w:rsidP="00CB5D4A">
            <w:pPr>
              <w:autoSpaceDE w:val="0"/>
              <w:autoSpaceDN w:val="0"/>
              <w:adjustRightInd w:val="0"/>
            </w:pPr>
            <w:r>
              <w:t>877</w:t>
            </w:r>
          </w:p>
        </w:tc>
        <w:tc>
          <w:tcPr>
            <w:tcW w:w="1245" w:type="dxa"/>
          </w:tcPr>
          <w:p w:rsidR="005E287C" w:rsidRDefault="005E287C" w:rsidP="00CB5D4A">
            <w:pPr>
              <w:autoSpaceDE w:val="0"/>
              <w:autoSpaceDN w:val="0"/>
              <w:adjustRightInd w:val="0"/>
            </w:pPr>
            <w:r>
              <w:t>16%</w:t>
            </w:r>
          </w:p>
        </w:tc>
      </w:tr>
      <w:tr w:rsidR="005E287C" w:rsidTr="00CB5D4A">
        <w:tc>
          <w:tcPr>
            <w:tcW w:w="1411" w:type="dxa"/>
          </w:tcPr>
          <w:p w:rsidR="005E287C" w:rsidRDefault="005E287C" w:rsidP="00CB5D4A">
            <w:pPr>
              <w:autoSpaceDE w:val="0"/>
              <w:autoSpaceDN w:val="0"/>
              <w:adjustRightInd w:val="0"/>
            </w:pPr>
            <w:r>
              <w:t>85+</w:t>
            </w:r>
          </w:p>
        </w:tc>
        <w:tc>
          <w:tcPr>
            <w:tcW w:w="1679" w:type="dxa"/>
          </w:tcPr>
          <w:p w:rsidR="005E287C" w:rsidRDefault="005E287C" w:rsidP="00CB5D4A">
            <w:pPr>
              <w:autoSpaceDE w:val="0"/>
              <w:autoSpaceDN w:val="0"/>
              <w:adjustRightInd w:val="0"/>
            </w:pPr>
            <w:r>
              <w:t>281.3</w:t>
            </w:r>
          </w:p>
        </w:tc>
        <w:tc>
          <w:tcPr>
            <w:tcW w:w="1757" w:type="dxa"/>
          </w:tcPr>
          <w:p w:rsidR="005E287C" w:rsidRDefault="005E287C" w:rsidP="00CB5D4A">
            <w:pPr>
              <w:autoSpaceDE w:val="0"/>
              <w:autoSpaceDN w:val="0"/>
              <w:adjustRightInd w:val="0"/>
            </w:pPr>
            <w:r>
              <w:t>54%</w:t>
            </w:r>
          </w:p>
        </w:tc>
        <w:tc>
          <w:tcPr>
            <w:tcW w:w="1905" w:type="dxa"/>
          </w:tcPr>
          <w:p w:rsidR="005E287C" w:rsidRDefault="005E287C" w:rsidP="00CB5D4A">
            <w:pPr>
              <w:autoSpaceDE w:val="0"/>
              <w:autoSpaceDN w:val="0"/>
              <w:adjustRightInd w:val="0"/>
            </w:pPr>
            <w:r>
              <w:t>520.9</w:t>
            </w:r>
          </w:p>
        </w:tc>
        <w:tc>
          <w:tcPr>
            <w:tcW w:w="1245" w:type="dxa"/>
          </w:tcPr>
          <w:p w:rsidR="005E287C" w:rsidRDefault="005E287C" w:rsidP="00CB5D4A">
            <w:pPr>
              <w:autoSpaceDE w:val="0"/>
              <w:autoSpaceDN w:val="0"/>
              <w:adjustRightInd w:val="0"/>
            </w:pPr>
            <w:r>
              <w:t>2218</w:t>
            </w:r>
          </w:p>
        </w:tc>
        <w:tc>
          <w:tcPr>
            <w:tcW w:w="1245" w:type="dxa"/>
          </w:tcPr>
          <w:p w:rsidR="005E287C" w:rsidRDefault="005E287C" w:rsidP="00CB5D4A">
            <w:pPr>
              <w:autoSpaceDE w:val="0"/>
              <w:autoSpaceDN w:val="0"/>
              <w:adjustRightInd w:val="0"/>
            </w:pPr>
            <w:r>
              <w:t>23%</w:t>
            </w:r>
          </w:p>
        </w:tc>
      </w:tr>
    </w:tbl>
    <w:p w:rsidR="005E287C" w:rsidRDefault="005E287C" w:rsidP="005E287C">
      <w:pPr>
        <w:autoSpaceDE w:val="0"/>
        <w:autoSpaceDN w:val="0"/>
        <w:adjustRightInd w:val="0"/>
        <w:spacing w:after="0" w:line="240" w:lineRule="auto"/>
      </w:pPr>
    </w:p>
    <w:p w:rsidR="005E287C" w:rsidRDefault="005E287C" w:rsidP="005E287C">
      <w:pPr>
        <w:autoSpaceDE w:val="0"/>
        <w:autoSpaceDN w:val="0"/>
        <w:adjustRightInd w:val="0"/>
        <w:spacing w:after="0" w:line="240" w:lineRule="auto"/>
      </w:pPr>
      <w:r w:rsidRPr="00970F53">
        <w:rPr>
          <w:b/>
        </w:rPr>
        <w:t>Conclusion</w:t>
      </w:r>
      <w:r>
        <w:t>, the incidence for VT-CAP reported by Rodrigo et al. is reasonable. There are some shortcomings in the presented comparisons, but the incidence seems in the same ballpark. Therefore a scenario was included that investigated a doubling of the CAP incidence, rather than tripling this incidence.</w:t>
      </w:r>
    </w:p>
    <w:p w:rsidR="005E287C" w:rsidRDefault="005E287C" w:rsidP="005E287C">
      <w:pPr>
        <w:jc w:val="both"/>
      </w:pPr>
    </w:p>
    <w:p w:rsidR="005E287C" w:rsidRDefault="005E287C" w:rsidP="005E287C">
      <w:pPr>
        <w:jc w:val="both"/>
      </w:pPr>
      <w:r>
        <w:t>References:</w:t>
      </w:r>
    </w:p>
    <w:p w:rsidR="005E287C" w:rsidRDefault="005E287C" w:rsidP="005E287C">
      <w:pPr>
        <w:jc w:val="both"/>
      </w:pPr>
      <w:r w:rsidRPr="006749C6">
        <w:rPr>
          <w:lang w:val="fr-FR"/>
        </w:rPr>
        <w:t xml:space="preserve">[1] Rodrigo C, </w:t>
      </w:r>
      <w:proofErr w:type="spellStart"/>
      <w:r w:rsidRPr="006749C6">
        <w:rPr>
          <w:lang w:val="fr-FR"/>
        </w:rPr>
        <w:t>Bewick</w:t>
      </w:r>
      <w:proofErr w:type="spellEnd"/>
      <w:r w:rsidRPr="006749C6">
        <w:rPr>
          <w:lang w:val="fr-FR"/>
        </w:rPr>
        <w:t xml:space="preserve"> T, </w:t>
      </w:r>
      <w:proofErr w:type="spellStart"/>
      <w:r w:rsidRPr="006749C6">
        <w:rPr>
          <w:lang w:val="fr-FR"/>
        </w:rPr>
        <w:t>Sheppard</w:t>
      </w:r>
      <w:proofErr w:type="spellEnd"/>
      <w:r w:rsidRPr="006749C6">
        <w:rPr>
          <w:lang w:val="fr-FR"/>
        </w:rPr>
        <w:t xml:space="preserve"> C, et al. </w:t>
      </w:r>
      <w:r w:rsidRPr="006D3648">
        <w:t xml:space="preserve">Impact of infant 13-valent pneumococcal conjugate vaccine on serotypes in adult pneumonia. </w:t>
      </w:r>
      <w:proofErr w:type="spellStart"/>
      <w:r w:rsidRPr="006D3648">
        <w:t>Eur</w:t>
      </w:r>
      <w:proofErr w:type="spellEnd"/>
      <w:r w:rsidRPr="006D3648">
        <w:t xml:space="preserve"> </w:t>
      </w:r>
      <w:proofErr w:type="spellStart"/>
      <w:r w:rsidRPr="006D3648">
        <w:t>Respir</w:t>
      </w:r>
      <w:proofErr w:type="spellEnd"/>
      <w:r w:rsidRPr="006D3648">
        <w:t xml:space="preserve"> J 2015</w:t>
      </w:r>
      <w:proofErr w:type="gramStart"/>
      <w:r w:rsidRPr="006D3648">
        <w:t>;1</w:t>
      </w:r>
      <w:proofErr w:type="gramEnd"/>
      <w:r w:rsidRPr="006D3648">
        <w:t xml:space="preserve">–10. </w:t>
      </w:r>
    </w:p>
    <w:p w:rsidR="005E287C" w:rsidRDefault="005E287C" w:rsidP="005E287C">
      <w:pPr>
        <w:jc w:val="both"/>
      </w:pPr>
      <w:r>
        <w:rPr>
          <w:lang w:val="fr-FR"/>
        </w:rPr>
        <w:t xml:space="preserve">[2] </w:t>
      </w:r>
      <w:proofErr w:type="spellStart"/>
      <w:r w:rsidRPr="006749C6">
        <w:rPr>
          <w:lang w:val="fr-FR"/>
        </w:rPr>
        <w:t>Mangen</w:t>
      </w:r>
      <w:proofErr w:type="spellEnd"/>
      <w:r w:rsidRPr="006749C6">
        <w:rPr>
          <w:lang w:val="fr-FR"/>
        </w:rPr>
        <w:t xml:space="preserve"> M-JJ, </w:t>
      </w:r>
      <w:proofErr w:type="spellStart"/>
      <w:r w:rsidRPr="006749C6">
        <w:rPr>
          <w:lang w:val="fr-FR"/>
        </w:rPr>
        <w:t>Rozenbaum</w:t>
      </w:r>
      <w:proofErr w:type="spellEnd"/>
      <w:r w:rsidRPr="006749C6">
        <w:rPr>
          <w:lang w:val="fr-FR"/>
        </w:rPr>
        <w:t xml:space="preserve"> MH, </w:t>
      </w:r>
      <w:proofErr w:type="spellStart"/>
      <w:r w:rsidRPr="006749C6">
        <w:rPr>
          <w:lang w:val="fr-FR"/>
        </w:rPr>
        <w:t>Huijts</w:t>
      </w:r>
      <w:proofErr w:type="spellEnd"/>
      <w:r w:rsidRPr="006749C6">
        <w:rPr>
          <w:lang w:val="fr-FR"/>
        </w:rPr>
        <w:t xml:space="preserve"> SM, et al. </w:t>
      </w:r>
      <w:r w:rsidRPr="006749C6">
        <w:t>Cost-effectiveness of adult pneumococcal conjugate vaccination in the</w:t>
      </w:r>
      <w:r>
        <w:t xml:space="preserve"> Netherlands. </w:t>
      </w:r>
      <w:proofErr w:type="spellStart"/>
      <w:r>
        <w:t>Eur</w:t>
      </w:r>
      <w:proofErr w:type="spellEnd"/>
      <w:r>
        <w:t xml:space="preserve"> </w:t>
      </w:r>
      <w:proofErr w:type="spellStart"/>
      <w:r>
        <w:t>Respir</w:t>
      </w:r>
      <w:proofErr w:type="spellEnd"/>
      <w:r>
        <w:t xml:space="preserve"> J 2015</w:t>
      </w:r>
      <w:proofErr w:type="gramStart"/>
      <w:r w:rsidRPr="006749C6">
        <w:t>:ERJ</w:t>
      </w:r>
      <w:proofErr w:type="gramEnd"/>
      <w:r w:rsidRPr="006749C6">
        <w:t xml:space="preserve"> – 00325–2015. </w:t>
      </w:r>
    </w:p>
    <w:p w:rsidR="005E287C" w:rsidRDefault="005E287C" w:rsidP="005E287C">
      <w:pPr>
        <w:jc w:val="both"/>
      </w:pPr>
      <w:r>
        <w:t xml:space="preserve">[3] </w:t>
      </w:r>
      <w:r w:rsidRPr="006D3648">
        <w:t xml:space="preserve">Trotter CL, Stuart JM, George R, et al. </w:t>
      </w:r>
      <w:proofErr w:type="gramStart"/>
      <w:r w:rsidRPr="006D3648">
        <w:t>Increasing</w:t>
      </w:r>
      <w:proofErr w:type="gramEnd"/>
      <w:r w:rsidRPr="006D3648">
        <w:t xml:space="preserve"> hospital admissions for pneumonia, England. </w:t>
      </w:r>
      <w:proofErr w:type="spellStart"/>
      <w:r w:rsidRPr="006D3648">
        <w:t>Emerg</w:t>
      </w:r>
      <w:proofErr w:type="spellEnd"/>
      <w:r>
        <w:t xml:space="preserve">. </w:t>
      </w:r>
      <w:r w:rsidRPr="006D3648">
        <w:t>Infect</w:t>
      </w:r>
      <w:r>
        <w:t xml:space="preserve">. </w:t>
      </w:r>
      <w:r w:rsidRPr="006D3648">
        <w:t>Dis</w:t>
      </w:r>
      <w:r>
        <w:t>.</w:t>
      </w:r>
      <w:r w:rsidRPr="006D3648">
        <w:t xml:space="preserve"> 2008</w:t>
      </w:r>
      <w:proofErr w:type="gramStart"/>
      <w:r w:rsidRPr="006D3648">
        <w:t>;14:727</w:t>
      </w:r>
      <w:proofErr w:type="gramEnd"/>
      <w:r w:rsidRPr="006D3648">
        <w:t>–33.</w:t>
      </w:r>
    </w:p>
    <w:p w:rsidR="005E287C" w:rsidRDefault="005E287C" w:rsidP="005E287C">
      <w:pPr>
        <w:jc w:val="both"/>
      </w:pPr>
    </w:p>
    <w:p w:rsidR="005E287C" w:rsidRDefault="005E287C" w:rsidP="005E287C"/>
    <w:p w:rsidR="00BF6482" w:rsidRDefault="00C42CEF"/>
    <w:sectPr w:rsidR="00BF6482" w:rsidSect="00245B52">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7C"/>
    <w:rsid w:val="000B1875"/>
    <w:rsid w:val="005E287C"/>
    <w:rsid w:val="009B12BE"/>
    <w:rsid w:val="00B2082F"/>
    <w:rsid w:val="00BC3F99"/>
    <w:rsid w:val="00C42CEF"/>
    <w:rsid w:val="00C4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34D3-2F54-49CF-B368-10F1366E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E2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VanHoek</dc:creator>
  <cp:keywords/>
  <dc:description/>
  <cp:lastModifiedBy>Albert VanHoek</cp:lastModifiedBy>
  <cp:revision>2</cp:revision>
  <dcterms:created xsi:type="dcterms:W3CDTF">2016-01-29T18:03:00Z</dcterms:created>
  <dcterms:modified xsi:type="dcterms:W3CDTF">2016-01-29T18:03:00Z</dcterms:modified>
</cp:coreProperties>
</file>