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b/>
          <w:lang w:val="en-US"/>
        </w:rPr>
        <w:t>Reproducibility</w:t>
      </w:r>
    </w:p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en-US"/>
        </w:rPr>
        <w:t>For SPARC (R&amp;D Systems Inc., DSP00), 3 samples with low, medium and high [SPARC] were assayed eight (8) times each. According to the 4PL fit, the CV of the low [SPARC] sample was 4%, of the medium 5% and of the high 8%. (</w:t>
      </w:r>
      <w:r w:rsidRPr="00612F08">
        <w:rPr>
          <w:rFonts w:ascii="Arial" w:hAnsi="Arial" w:cs="Arial"/>
          <w:b/>
          <w:lang w:val="en-US"/>
        </w:rPr>
        <w:t>Fig. 2A</w:t>
      </w:r>
      <w:r w:rsidRPr="00612F08">
        <w:rPr>
          <w:rFonts w:ascii="Arial" w:hAnsi="Arial" w:cs="Arial"/>
          <w:lang w:val="en-US"/>
        </w:rPr>
        <w:t>)</w:t>
      </w:r>
    </w:p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pt-BR"/>
        </w:rPr>
        <w:t xml:space="preserve">For PR3 (Cusabio Biotech CO. </w:t>
      </w:r>
      <w:r w:rsidRPr="00612F08">
        <w:rPr>
          <w:rFonts w:ascii="Arial" w:hAnsi="Arial" w:cs="Arial"/>
          <w:lang w:val="en-US"/>
        </w:rPr>
        <w:t>LTD, CSB-E13058h), 3 samples of low, medium and high [PR3] were assayed five (5) times each. (Fig.2B) According to the 4PL fit, the CV of the low [PR3] sample was 7%, of the medium [PR3] sample was 24% and of the high [PR3] sample was 21 %.</w:t>
      </w:r>
      <w:r>
        <w:rPr>
          <w:rFonts w:ascii="Arial" w:hAnsi="Arial" w:cs="Arial"/>
          <w:lang w:val="en-US"/>
        </w:rPr>
        <w:t xml:space="preserve"> </w:t>
      </w:r>
      <w:r w:rsidRPr="00612F08">
        <w:rPr>
          <w:rFonts w:ascii="Arial" w:hAnsi="Arial" w:cs="Arial"/>
          <w:lang w:val="en-US"/>
        </w:rPr>
        <w:t>(</w:t>
      </w:r>
      <w:r w:rsidRPr="00612F08">
        <w:rPr>
          <w:rFonts w:ascii="Arial" w:hAnsi="Arial" w:cs="Arial"/>
          <w:b/>
          <w:lang w:val="en-US"/>
        </w:rPr>
        <w:t>Fig. 2B</w:t>
      </w:r>
      <w:r w:rsidRPr="00612F08">
        <w:rPr>
          <w:rFonts w:ascii="Arial" w:hAnsi="Arial" w:cs="Arial"/>
          <w:lang w:val="en-US"/>
        </w:rPr>
        <w:t>)</w:t>
      </w:r>
    </w:p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en-US"/>
        </w:rPr>
        <w:t>For SLIT-2 (Cloud-Clone Corp. USCN Life Science Inc., SEA672Hu), 3 urine samples of low, medium and high [SLIT-2] were assayed eight (8) times each. The samples exhibited the following CVs: (18% for the medium [SLIT-2] sample, 18% for the high [SLIT-2] sample and 29% for the low [SLIT-2] sample. The medium and high [SLIT-2] samples had low CVs which were acceptable. The low [SLIT-2] sample had a high CV above the acceptable limit. According to the 4PL fit, the samples exhibited the following CVs: (19% for the medium [SLIT-2] sample, 44% for the high [SLIT-2] sample and 29% for the low [SLIT-2] sample. (</w:t>
      </w:r>
      <w:r w:rsidR="005952AC">
        <w:rPr>
          <w:rFonts w:ascii="Arial" w:hAnsi="Arial" w:cs="Arial"/>
          <w:b/>
          <w:lang w:val="en-US"/>
        </w:rPr>
        <w:t>Figure A</w:t>
      </w:r>
      <w:r w:rsidRPr="00612F08">
        <w:rPr>
          <w:rFonts w:ascii="Arial" w:hAnsi="Arial" w:cs="Arial"/>
          <w:lang w:val="en-US"/>
        </w:rPr>
        <w:t>)</w:t>
      </w:r>
    </w:p>
    <w:p w:rsidR="00720DF0" w:rsidRPr="00612F08" w:rsidRDefault="00720DF0" w:rsidP="00720DF0">
      <w:pPr>
        <w:jc w:val="center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4622800" cy="2806700"/>
            <wp:effectExtent l="19050" t="0" r="6350" b="0"/>
            <wp:docPr id="13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F0" w:rsidRPr="00612F08" w:rsidRDefault="005952AC" w:rsidP="00720D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A</w:t>
      </w:r>
      <w:r w:rsidR="00720DF0" w:rsidRPr="00612F08">
        <w:rPr>
          <w:rFonts w:ascii="Arial" w:hAnsi="Arial" w:cs="Arial"/>
          <w:b/>
          <w:lang w:val="en-US"/>
        </w:rPr>
        <w:t xml:space="preserve">. Reproducibility study results of SLIT-2. </w:t>
      </w:r>
    </w:p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en-US"/>
        </w:rPr>
        <w:t>For H2B (US Biological Life Sciences, 025705), there was no high [H2B] sample available, therefore 2 samples of low [H2B] were assayed six (6) times each. The samples exhibited the following CVs: 42% and 33 % respectively for the 2 low [H2B] samples. Both samples had high CVs above the acceptable limit. According to the 4PL fit, CV could only be calculated for the one low [H2B] sample (56%).</w:t>
      </w:r>
      <w:r>
        <w:rPr>
          <w:rFonts w:ascii="Arial" w:hAnsi="Arial" w:cs="Arial"/>
          <w:lang w:val="en-US"/>
        </w:rPr>
        <w:t xml:space="preserve"> </w:t>
      </w:r>
      <w:r w:rsidRPr="00612F08">
        <w:rPr>
          <w:rFonts w:ascii="Arial" w:hAnsi="Arial" w:cs="Arial"/>
          <w:lang w:val="en-US"/>
        </w:rPr>
        <w:t>(</w:t>
      </w:r>
      <w:r w:rsidR="005952AC">
        <w:rPr>
          <w:rFonts w:ascii="Arial" w:hAnsi="Arial" w:cs="Arial"/>
          <w:b/>
          <w:lang w:val="en-US"/>
        </w:rPr>
        <w:t>Figure B</w:t>
      </w:r>
      <w:r w:rsidRPr="00612F08">
        <w:rPr>
          <w:rFonts w:ascii="Arial" w:hAnsi="Arial" w:cs="Arial"/>
          <w:lang w:val="en-US"/>
        </w:rPr>
        <w:t>)</w:t>
      </w:r>
    </w:p>
    <w:p w:rsidR="00720DF0" w:rsidRPr="00612F08" w:rsidRDefault="00720DF0" w:rsidP="00720DF0">
      <w:pPr>
        <w:jc w:val="center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b/>
          <w:noProof/>
          <w:lang w:val="en-US" w:eastAsia="en-US"/>
        </w:rPr>
        <w:lastRenderedPageBreak/>
        <w:drawing>
          <wp:inline distT="0" distB="0" distL="0" distR="0">
            <wp:extent cx="4572000" cy="2768600"/>
            <wp:effectExtent l="19050" t="0" r="0" b="0"/>
            <wp:docPr id="1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F0" w:rsidRPr="00612F08" w:rsidRDefault="005952AC" w:rsidP="00720DF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Figure B</w:t>
      </w:r>
      <w:r w:rsidR="00720DF0" w:rsidRPr="00612F08">
        <w:rPr>
          <w:rFonts w:ascii="Arial" w:hAnsi="Arial" w:cs="Arial"/>
          <w:b/>
          <w:lang w:val="en-US"/>
        </w:rPr>
        <w:t>.</w:t>
      </w:r>
      <w:r w:rsidR="00720DF0" w:rsidRPr="00612F08">
        <w:rPr>
          <w:rFonts w:ascii="Arial" w:hAnsi="Arial" w:cs="Arial"/>
          <w:lang w:val="en-US"/>
        </w:rPr>
        <w:t xml:space="preserve"> </w:t>
      </w:r>
      <w:r w:rsidR="00720DF0" w:rsidRPr="00612F08">
        <w:rPr>
          <w:rFonts w:ascii="Arial" w:hAnsi="Arial" w:cs="Arial"/>
          <w:b/>
          <w:lang w:val="en-US"/>
        </w:rPr>
        <w:t>Reproducibility study results of H2B.</w:t>
      </w:r>
    </w:p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en-US"/>
        </w:rPr>
        <w:t>For H2B (Cloud-Clone Corp. USCN Life Science Inc., SEA356Hu), there was no high [H2B] sample available, therefore 2 samples of low [H2B] were assayed six (6) times each. For the first low [H2B] sample, CV=97% and the second low [H2B] sample gave a negative result therefore CV could not be calculated. According to the 4PL fit, CV could be calculated only for the one low [H2B] sample (88%).</w:t>
      </w:r>
      <w:r>
        <w:rPr>
          <w:rFonts w:ascii="Arial" w:hAnsi="Arial" w:cs="Arial"/>
          <w:lang w:val="en-US"/>
        </w:rPr>
        <w:t xml:space="preserve"> </w:t>
      </w:r>
      <w:r w:rsidRPr="00612F08">
        <w:rPr>
          <w:rFonts w:ascii="Arial" w:hAnsi="Arial" w:cs="Arial"/>
          <w:lang w:val="en-US"/>
        </w:rPr>
        <w:t>(</w:t>
      </w:r>
      <w:r w:rsidR="005952AC">
        <w:rPr>
          <w:rFonts w:ascii="Arial" w:hAnsi="Arial" w:cs="Arial"/>
          <w:b/>
          <w:lang w:val="en-US"/>
        </w:rPr>
        <w:t>Figure C</w:t>
      </w:r>
      <w:r w:rsidRPr="00612F08">
        <w:rPr>
          <w:rFonts w:ascii="Arial" w:hAnsi="Arial" w:cs="Arial"/>
          <w:lang w:val="en-US"/>
        </w:rPr>
        <w:t>)</w:t>
      </w:r>
    </w:p>
    <w:p w:rsidR="00720DF0" w:rsidRPr="00612F08" w:rsidRDefault="00720DF0" w:rsidP="00720DF0">
      <w:pPr>
        <w:jc w:val="center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4559300" cy="2768600"/>
            <wp:effectExtent l="19050" t="0" r="0" b="0"/>
            <wp:docPr id="15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F0" w:rsidRPr="00612F08" w:rsidRDefault="005952AC" w:rsidP="00720D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C</w:t>
      </w:r>
      <w:r w:rsidR="00720DF0" w:rsidRPr="00612F08">
        <w:rPr>
          <w:rFonts w:ascii="Arial" w:hAnsi="Arial" w:cs="Arial"/>
          <w:b/>
          <w:lang w:val="en-US"/>
        </w:rPr>
        <w:t>.</w:t>
      </w:r>
      <w:r w:rsidR="00720DF0" w:rsidRPr="00612F08">
        <w:rPr>
          <w:rFonts w:ascii="Arial" w:hAnsi="Arial" w:cs="Arial"/>
          <w:lang w:val="en-US"/>
        </w:rPr>
        <w:t xml:space="preserve"> </w:t>
      </w:r>
      <w:r w:rsidR="00720DF0" w:rsidRPr="00612F08">
        <w:rPr>
          <w:rFonts w:ascii="Arial" w:hAnsi="Arial" w:cs="Arial"/>
          <w:b/>
          <w:lang w:val="en-US"/>
        </w:rPr>
        <w:t>Reproducibility study results of H2B.</w:t>
      </w:r>
    </w:p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en-US"/>
        </w:rPr>
        <w:t xml:space="preserve">For </w:t>
      </w:r>
      <w:proofErr w:type="spellStart"/>
      <w:r w:rsidRPr="00612F08">
        <w:rPr>
          <w:rFonts w:ascii="Arial" w:hAnsi="Arial" w:cs="Arial"/>
          <w:lang w:val="en-US"/>
        </w:rPr>
        <w:t>Survivin</w:t>
      </w:r>
      <w:proofErr w:type="spellEnd"/>
      <w:r w:rsidRPr="00612F08">
        <w:rPr>
          <w:rFonts w:ascii="Arial" w:hAnsi="Arial" w:cs="Arial"/>
          <w:lang w:val="en-US"/>
        </w:rPr>
        <w:t xml:space="preserve"> (Enzo Life Sciences, ADI-900-111), two samples of low and high [SURVIVIN]) were assayed twelve (12) times each. The samples exhibited the following CVs: 32% for the low [SURVIVIN] sample and 15% for the high [SURVIVIN] sample. The CV of the high [SURVIVIN] sample is acceptable whereas the CV of the low [SURVIVIN] sample was above the acceptable limit. According to the 4PL fit, CV could be calculated only for the high [SURVIVIN] sample (29%). (</w:t>
      </w:r>
      <w:r w:rsidR="005952AC">
        <w:rPr>
          <w:rFonts w:ascii="Arial" w:hAnsi="Arial" w:cs="Arial"/>
          <w:b/>
          <w:lang w:val="en-US"/>
        </w:rPr>
        <w:t>Figure D</w:t>
      </w:r>
      <w:r w:rsidRPr="00612F08">
        <w:rPr>
          <w:rFonts w:ascii="Arial" w:hAnsi="Arial" w:cs="Arial"/>
          <w:lang w:val="en-US"/>
        </w:rPr>
        <w:t>)</w:t>
      </w:r>
    </w:p>
    <w:p w:rsidR="00720DF0" w:rsidRPr="00612F08" w:rsidRDefault="00720DF0" w:rsidP="00720DF0">
      <w:pPr>
        <w:jc w:val="center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b/>
          <w:noProof/>
          <w:lang w:val="en-US" w:eastAsia="en-US"/>
        </w:rPr>
        <w:lastRenderedPageBreak/>
        <w:drawing>
          <wp:inline distT="0" distB="0" distL="0" distR="0">
            <wp:extent cx="4559300" cy="2743200"/>
            <wp:effectExtent l="19050" t="0" r="0" b="0"/>
            <wp:docPr id="16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F0" w:rsidRPr="00612F08" w:rsidRDefault="005952AC" w:rsidP="00720D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D</w:t>
      </w:r>
      <w:r w:rsidR="00720DF0" w:rsidRPr="00612F08">
        <w:rPr>
          <w:rFonts w:ascii="Arial" w:hAnsi="Arial" w:cs="Arial"/>
          <w:b/>
          <w:lang w:val="en-US"/>
        </w:rPr>
        <w:t>.</w:t>
      </w:r>
      <w:r w:rsidR="00720DF0" w:rsidRPr="00612F08">
        <w:rPr>
          <w:rFonts w:ascii="Arial" w:hAnsi="Arial" w:cs="Arial"/>
          <w:lang w:val="en-US"/>
        </w:rPr>
        <w:t xml:space="preserve"> </w:t>
      </w:r>
      <w:r w:rsidR="00720DF0" w:rsidRPr="00612F08">
        <w:rPr>
          <w:rFonts w:ascii="Arial" w:hAnsi="Arial" w:cs="Arial"/>
          <w:b/>
          <w:lang w:val="en-US"/>
        </w:rPr>
        <w:t>Reproducibility study results of SURVIVIN.</w:t>
      </w:r>
    </w:p>
    <w:p w:rsidR="00720DF0" w:rsidRPr="00612F08" w:rsidRDefault="00720DF0" w:rsidP="00720DF0">
      <w:pPr>
        <w:jc w:val="both"/>
        <w:rPr>
          <w:rFonts w:ascii="Arial" w:hAnsi="Arial" w:cs="Arial"/>
          <w:b/>
          <w:lang w:val="en-US"/>
        </w:rPr>
      </w:pPr>
      <w:r w:rsidRPr="00612F08">
        <w:rPr>
          <w:rFonts w:ascii="Arial" w:hAnsi="Arial" w:cs="Arial"/>
          <w:lang w:val="en-US"/>
        </w:rPr>
        <w:t xml:space="preserve">For </w:t>
      </w:r>
      <w:proofErr w:type="spellStart"/>
      <w:r w:rsidRPr="00612F08">
        <w:rPr>
          <w:rFonts w:ascii="Arial" w:hAnsi="Arial" w:cs="Arial"/>
          <w:lang w:val="en-US"/>
        </w:rPr>
        <w:t>Survivin</w:t>
      </w:r>
      <w:proofErr w:type="spellEnd"/>
      <w:r w:rsidRPr="00612F08">
        <w:rPr>
          <w:rFonts w:ascii="Arial" w:hAnsi="Arial" w:cs="Arial"/>
          <w:lang w:val="en-US"/>
        </w:rPr>
        <w:t xml:space="preserve"> (R&amp;D Systems Inc., DSV00), there was no high [SURVIVIN] sample available, therefore 2 samples of low [SURVIVIN] were assayed eight (8) times each.</w:t>
      </w:r>
      <w:r>
        <w:rPr>
          <w:rFonts w:ascii="Arial" w:hAnsi="Arial" w:cs="Arial"/>
          <w:lang w:val="en-US"/>
        </w:rPr>
        <w:t xml:space="preserve"> </w:t>
      </w:r>
      <w:r w:rsidRPr="00612F08">
        <w:rPr>
          <w:rFonts w:ascii="Arial" w:hAnsi="Arial" w:cs="Arial"/>
          <w:lang w:val="en-US"/>
        </w:rPr>
        <w:t>The first low [SURVIVIN] sample had CV=19% therefore satisfactory however the second gave a negative result.</w:t>
      </w:r>
      <w:r>
        <w:rPr>
          <w:rFonts w:ascii="Arial" w:hAnsi="Arial" w:cs="Arial"/>
          <w:lang w:val="en-US"/>
        </w:rPr>
        <w:t xml:space="preserve"> </w:t>
      </w:r>
      <w:r w:rsidRPr="00612F08">
        <w:rPr>
          <w:rFonts w:ascii="Arial" w:hAnsi="Arial" w:cs="Arial"/>
          <w:lang w:val="en-US"/>
        </w:rPr>
        <w:t>According to the 4PL fit, the first low [SURVIVIN] sample had CV=13% and the second low [SURVIVIN] sample had CV=</w:t>
      </w:r>
      <w:proofErr w:type="gramStart"/>
      <w:r w:rsidRPr="00612F08">
        <w:rPr>
          <w:rFonts w:ascii="Arial" w:hAnsi="Arial" w:cs="Arial"/>
          <w:lang w:val="en-US"/>
        </w:rPr>
        <w:t>6%</w:t>
      </w:r>
      <w:proofErr w:type="gramEnd"/>
      <w:r w:rsidRPr="00612F08">
        <w:rPr>
          <w:rFonts w:ascii="Arial" w:hAnsi="Arial" w:cs="Arial"/>
          <w:lang w:val="en-US"/>
        </w:rPr>
        <w:t>.(</w:t>
      </w:r>
      <w:r w:rsidR="005952AC">
        <w:rPr>
          <w:rFonts w:ascii="Arial" w:hAnsi="Arial" w:cs="Arial"/>
          <w:b/>
          <w:lang w:val="en-US"/>
        </w:rPr>
        <w:t>Figure E</w:t>
      </w:r>
      <w:r w:rsidRPr="00612F08">
        <w:rPr>
          <w:rFonts w:ascii="Arial" w:hAnsi="Arial" w:cs="Arial"/>
          <w:b/>
          <w:lang w:val="en-US"/>
        </w:rPr>
        <w:t>)</w:t>
      </w:r>
    </w:p>
    <w:p w:rsidR="00720DF0" w:rsidRPr="00612F08" w:rsidRDefault="00720DF0" w:rsidP="00720DF0">
      <w:pPr>
        <w:jc w:val="center"/>
        <w:rPr>
          <w:rFonts w:ascii="Arial" w:hAnsi="Arial" w:cs="Arial"/>
          <w:b/>
          <w:lang w:val="en-US"/>
        </w:rPr>
      </w:pPr>
      <w:r w:rsidRPr="00612F08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4572000" cy="2768600"/>
            <wp:effectExtent l="19050" t="0" r="0" b="0"/>
            <wp:docPr id="17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F0" w:rsidRPr="00612F08" w:rsidRDefault="005952AC" w:rsidP="00720D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E</w:t>
      </w:r>
      <w:r w:rsidR="00720DF0" w:rsidRPr="00612F08">
        <w:rPr>
          <w:rFonts w:ascii="Arial" w:hAnsi="Arial" w:cs="Arial"/>
          <w:b/>
          <w:lang w:val="en-US"/>
        </w:rPr>
        <w:t>.</w:t>
      </w:r>
      <w:r w:rsidR="00720DF0" w:rsidRPr="00612F08">
        <w:rPr>
          <w:rFonts w:ascii="Arial" w:hAnsi="Arial" w:cs="Arial"/>
          <w:lang w:val="en-US"/>
        </w:rPr>
        <w:t xml:space="preserve"> </w:t>
      </w:r>
      <w:r w:rsidR="00720DF0" w:rsidRPr="00612F08">
        <w:rPr>
          <w:rFonts w:ascii="Arial" w:hAnsi="Arial" w:cs="Arial"/>
          <w:b/>
          <w:lang w:val="en-US"/>
        </w:rPr>
        <w:t>Reproducibility study results of SURVIVIN.</w:t>
      </w:r>
    </w:p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en-US"/>
        </w:rPr>
        <w:t xml:space="preserve">For PFN-1 (USCN </w:t>
      </w:r>
      <w:proofErr w:type="spellStart"/>
      <w:r w:rsidRPr="00612F08">
        <w:rPr>
          <w:rFonts w:ascii="Arial" w:hAnsi="Arial" w:cs="Arial"/>
          <w:lang w:val="en-US"/>
        </w:rPr>
        <w:t>Life</w:t>
      </w:r>
      <w:proofErr w:type="gramStart"/>
      <w:r w:rsidRPr="00612F08">
        <w:rPr>
          <w:rFonts w:ascii="Arial" w:hAnsi="Arial" w:cs="Arial"/>
          <w:lang w:val="en-US"/>
        </w:rPr>
        <w:t>,WUHAN</w:t>
      </w:r>
      <w:proofErr w:type="spellEnd"/>
      <w:proofErr w:type="gramEnd"/>
      <w:r w:rsidRPr="00612F08">
        <w:rPr>
          <w:rFonts w:ascii="Arial" w:hAnsi="Arial" w:cs="Arial"/>
          <w:lang w:val="en-US"/>
        </w:rPr>
        <w:t xml:space="preserve"> EIAAB SCIENCE CO. LTD, E2122h), 3 samples of low, medium and high [PFN-1] were assayed six (6) times each. The CV of the low concentration sample was not satisfactory (25%). The medium and high [PFN-1] samples exhibited % Recoveries of 17% and 15% respectively that were considered </w:t>
      </w:r>
      <w:proofErr w:type="spellStart"/>
      <w:r w:rsidRPr="00612F08">
        <w:rPr>
          <w:rFonts w:ascii="Arial" w:hAnsi="Arial" w:cs="Arial"/>
          <w:lang w:val="en-US"/>
        </w:rPr>
        <w:t>satisfactory.According</w:t>
      </w:r>
      <w:proofErr w:type="spellEnd"/>
      <w:r w:rsidRPr="00612F08">
        <w:rPr>
          <w:rFonts w:ascii="Arial" w:hAnsi="Arial" w:cs="Arial"/>
          <w:lang w:val="en-US"/>
        </w:rPr>
        <w:t xml:space="preserve"> to the 4PL fit, the CV of the low [PFN-1] sample was 39%, for </w:t>
      </w:r>
      <w:r w:rsidRPr="00612F08">
        <w:rPr>
          <w:rFonts w:ascii="Arial" w:hAnsi="Arial" w:cs="Arial"/>
          <w:lang w:val="en-US"/>
        </w:rPr>
        <w:lastRenderedPageBreak/>
        <w:t>the medium [PFN-1] sample was 16% and for the high [PFN-1] sample 55%.(</w:t>
      </w:r>
      <w:r w:rsidR="005952AC">
        <w:rPr>
          <w:rFonts w:ascii="Arial" w:hAnsi="Arial" w:cs="Arial"/>
          <w:b/>
          <w:lang w:val="en-US"/>
        </w:rPr>
        <w:t>Figure F</w:t>
      </w:r>
      <w:r w:rsidRPr="00612F08">
        <w:rPr>
          <w:rFonts w:ascii="Arial" w:hAnsi="Arial" w:cs="Arial"/>
          <w:lang w:val="en-US"/>
        </w:rPr>
        <w:t>)</w:t>
      </w:r>
    </w:p>
    <w:p w:rsidR="00720DF0" w:rsidRPr="00612F08" w:rsidRDefault="00720DF0" w:rsidP="00720DF0">
      <w:pPr>
        <w:jc w:val="center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584700" cy="2755900"/>
            <wp:effectExtent l="0" t="0" r="0" b="0"/>
            <wp:docPr id="18" name="Chart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0DF0" w:rsidRPr="00612F08" w:rsidRDefault="005952AC" w:rsidP="00720D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F</w:t>
      </w:r>
      <w:r w:rsidR="00720DF0" w:rsidRPr="00612F08">
        <w:rPr>
          <w:rFonts w:ascii="Arial" w:hAnsi="Arial" w:cs="Arial"/>
          <w:b/>
          <w:lang w:val="en-US"/>
        </w:rPr>
        <w:t>.</w:t>
      </w:r>
      <w:r w:rsidR="00720DF0" w:rsidRPr="00612F08">
        <w:rPr>
          <w:rFonts w:ascii="Arial" w:hAnsi="Arial" w:cs="Arial"/>
          <w:lang w:val="en-US"/>
        </w:rPr>
        <w:t xml:space="preserve"> </w:t>
      </w:r>
      <w:r w:rsidR="00720DF0" w:rsidRPr="00612F08">
        <w:rPr>
          <w:rFonts w:ascii="Arial" w:hAnsi="Arial" w:cs="Arial"/>
          <w:b/>
          <w:lang w:val="en-US"/>
        </w:rPr>
        <w:t>Reproducibility study results of PFN-1.</w:t>
      </w:r>
    </w:p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en-US"/>
        </w:rPr>
        <w:t>For PFN-1 (US Biological Life Sciences, 027613), 3 samples of low, medium and high [PFN-1] were assayed five (5) times each. The CV% was very satisfactory for the high [PFN-1] sample (3%) but out of the limits of acceptance for the medium and low [PFN-1] samples. (23% and 122% respectively)According to the 4PL fit, the 3 samples of low, medium and high [PFN-1] exhibited the same CVs.  (</w:t>
      </w:r>
      <w:r w:rsidR="005952AC">
        <w:rPr>
          <w:rFonts w:ascii="Arial" w:hAnsi="Arial" w:cs="Arial"/>
          <w:b/>
          <w:lang w:val="en-US"/>
        </w:rPr>
        <w:t>Figure G</w:t>
      </w:r>
      <w:r w:rsidRPr="00612F08">
        <w:rPr>
          <w:rFonts w:ascii="Arial" w:hAnsi="Arial" w:cs="Arial"/>
          <w:lang w:val="en-US"/>
        </w:rPr>
        <w:t>)</w:t>
      </w:r>
    </w:p>
    <w:p w:rsidR="00720DF0" w:rsidRPr="00612F08" w:rsidRDefault="00720DF0" w:rsidP="00720DF0">
      <w:pPr>
        <w:jc w:val="center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4572000" cy="2768600"/>
            <wp:effectExtent l="19050" t="0" r="0" b="0"/>
            <wp:docPr id="1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F0" w:rsidRPr="00612F08" w:rsidRDefault="005952AC" w:rsidP="00720D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G</w:t>
      </w:r>
      <w:r w:rsidR="00720DF0" w:rsidRPr="00612F08">
        <w:rPr>
          <w:rFonts w:ascii="Arial" w:hAnsi="Arial" w:cs="Arial"/>
          <w:b/>
          <w:lang w:val="en-US"/>
        </w:rPr>
        <w:t>.</w:t>
      </w:r>
      <w:r w:rsidR="00720DF0" w:rsidRPr="00612F08">
        <w:rPr>
          <w:rFonts w:ascii="Arial" w:hAnsi="Arial" w:cs="Arial"/>
          <w:lang w:val="en-US"/>
        </w:rPr>
        <w:t xml:space="preserve"> </w:t>
      </w:r>
      <w:r w:rsidR="00720DF0" w:rsidRPr="00612F08">
        <w:rPr>
          <w:rFonts w:ascii="Arial" w:hAnsi="Arial" w:cs="Arial"/>
          <w:b/>
          <w:lang w:val="en-US"/>
        </w:rPr>
        <w:t>Reproducibility study results of PFN-1.</w:t>
      </w:r>
    </w:p>
    <w:p w:rsidR="00720DF0" w:rsidRDefault="00720DF0" w:rsidP="00720DF0">
      <w:pPr>
        <w:jc w:val="both"/>
        <w:rPr>
          <w:rFonts w:ascii="Arial" w:hAnsi="Arial" w:cs="Arial"/>
          <w:lang w:val="en-US"/>
        </w:rPr>
      </w:pPr>
    </w:p>
    <w:p w:rsidR="00720DF0" w:rsidRDefault="00720DF0" w:rsidP="00720DF0">
      <w:pPr>
        <w:jc w:val="both"/>
        <w:rPr>
          <w:rFonts w:ascii="Arial" w:hAnsi="Arial" w:cs="Arial"/>
          <w:lang w:val="en-US"/>
        </w:rPr>
      </w:pPr>
    </w:p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en-US"/>
        </w:rPr>
        <w:lastRenderedPageBreak/>
        <w:t>For PFN-1 (Cloud-Clone Corp., USCN Life Science Inc., SEC233Hu), 3 samples of low, medium and high [PFN-1] were assayed six (6) times each. The low and high [PFN-1] samples exhibited satisfactory CVs (12% and 6% respectively), whereas the CV of the medium [PFN-1] sample was above the acceptable limit (23%).According to the 4PL fit, the low [PFN-1] sample had CV=6%, the medium and the high standards had CVs of 28% and 22% respectively). (</w:t>
      </w:r>
      <w:r w:rsidR="005952AC">
        <w:rPr>
          <w:rFonts w:ascii="Arial" w:hAnsi="Arial" w:cs="Arial"/>
          <w:b/>
          <w:lang w:val="en-US"/>
        </w:rPr>
        <w:t>Figure H</w:t>
      </w:r>
      <w:r w:rsidRPr="00612F08">
        <w:rPr>
          <w:rFonts w:ascii="Arial" w:hAnsi="Arial" w:cs="Arial"/>
          <w:lang w:val="en-US"/>
        </w:rPr>
        <w:t>)</w:t>
      </w:r>
    </w:p>
    <w:p w:rsidR="00720DF0" w:rsidRPr="00612F08" w:rsidRDefault="00720DF0" w:rsidP="00720DF0">
      <w:pPr>
        <w:jc w:val="center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559300" cy="2730500"/>
            <wp:effectExtent l="19050" t="0" r="0" b="0"/>
            <wp:docPr id="2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F0" w:rsidRPr="00612F08" w:rsidRDefault="005952AC" w:rsidP="00720D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H</w:t>
      </w:r>
      <w:r w:rsidR="00720DF0" w:rsidRPr="00612F08">
        <w:rPr>
          <w:rFonts w:ascii="Arial" w:hAnsi="Arial" w:cs="Arial"/>
          <w:b/>
          <w:lang w:val="en-US"/>
        </w:rPr>
        <w:t>.</w:t>
      </w:r>
      <w:r w:rsidR="00720DF0" w:rsidRPr="00612F08">
        <w:rPr>
          <w:rFonts w:ascii="Arial" w:hAnsi="Arial" w:cs="Arial"/>
          <w:lang w:val="en-US"/>
        </w:rPr>
        <w:t xml:space="preserve"> </w:t>
      </w:r>
      <w:r w:rsidR="00720DF0" w:rsidRPr="00612F08">
        <w:rPr>
          <w:rFonts w:ascii="Arial" w:hAnsi="Arial" w:cs="Arial"/>
          <w:b/>
          <w:lang w:val="en-US"/>
        </w:rPr>
        <w:t>Reproducibility study results of PFN-1.</w:t>
      </w:r>
    </w:p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en-US"/>
        </w:rPr>
        <w:t>For NIF-1 (CUSABIO Biotech CO. LTD, CSB-EL026683HU), 2 samples of medium and high [NIF-1] were assayed eight (8) times each. The samples exhibited the following CVs: (14% for the medium [NIF-1] sample and 6% for the high [NIF-1] sample). The high and the medium [NIF-1] samples had low CVs which were acceptable. According to the 4PL the medium and high [NIF-1] samples had CVs of 15% and 9% respectively. (</w:t>
      </w:r>
      <w:r w:rsidR="005952AC">
        <w:rPr>
          <w:rFonts w:ascii="Arial" w:hAnsi="Arial" w:cs="Arial"/>
          <w:b/>
          <w:lang w:val="en-US"/>
        </w:rPr>
        <w:t>Figure I</w:t>
      </w:r>
      <w:r w:rsidRPr="00612F08">
        <w:rPr>
          <w:rFonts w:ascii="Arial" w:hAnsi="Arial" w:cs="Arial"/>
          <w:lang w:val="en-US"/>
        </w:rPr>
        <w:t>)</w:t>
      </w:r>
    </w:p>
    <w:p w:rsidR="00720DF0" w:rsidRPr="00612F08" w:rsidRDefault="00720DF0" w:rsidP="00720DF0">
      <w:pPr>
        <w:jc w:val="center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572000" cy="2743200"/>
            <wp:effectExtent l="19050" t="0" r="0" b="0"/>
            <wp:docPr id="2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F0" w:rsidRPr="00612F08" w:rsidRDefault="005952AC" w:rsidP="00720D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I</w:t>
      </w:r>
      <w:r w:rsidR="00720DF0" w:rsidRPr="00612F08">
        <w:rPr>
          <w:rFonts w:ascii="Arial" w:hAnsi="Arial" w:cs="Arial"/>
          <w:b/>
          <w:lang w:val="en-US"/>
        </w:rPr>
        <w:t>.</w:t>
      </w:r>
      <w:r w:rsidR="00720DF0" w:rsidRPr="00612F08">
        <w:rPr>
          <w:rFonts w:ascii="Arial" w:hAnsi="Arial" w:cs="Arial"/>
          <w:lang w:val="en-US"/>
        </w:rPr>
        <w:t xml:space="preserve"> </w:t>
      </w:r>
      <w:r w:rsidR="00720DF0" w:rsidRPr="00612F08">
        <w:rPr>
          <w:rFonts w:ascii="Arial" w:hAnsi="Arial" w:cs="Arial"/>
          <w:b/>
          <w:lang w:val="en-US"/>
        </w:rPr>
        <w:t>Reproducibility study results of NIF-1.</w:t>
      </w:r>
    </w:p>
    <w:p w:rsidR="00720DF0" w:rsidRPr="00612F08" w:rsidRDefault="00720DF0" w:rsidP="00720DF0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en-US"/>
        </w:rPr>
        <w:lastRenderedPageBreak/>
        <w:t>For NIF-1 (USCN Life, WUHAN EIAAB SCIENCE CO., LTD, E1019h), 2 samples of low and medium [NIF-1] were assayed five (5) times each. Both samples exhibited satisfactory CVs. (10% for the low [NIF-1] sample and 11% for the medium [NIF-1] sample). According to the 4PL fit the low and medium [NIF-1] samples had CVs of 9% and 11% respectively. (</w:t>
      </w:r>
      <w:r w:rsidR="005952AC">
        <w:rPr>
          <w:rFonts w:ascii="Arial" w:hAnsi="Arial" w:cs="Arial"/>
          <w:b/>
          <w:lang w:val="en-US"/>
        </w:rPr>
        <w:t>Figure J</w:t>
      </w:r>
      <w:r w:rsidRPr="00612F08">
        <w:rPr>
          <w:rFonts w:ascii="Arial" w:hAnsi="Arial" w:cs="Arial"/>
          <w:lang w:val="en-US"/>
        </w:rPr>
        <w:t>)</w:t>
      </w:r>
    </w:p>
    <w:p w:rsidR="00720DF0" w:rsidRPr="00612F08" w:rsidRDefault="00720DF0" w:rsidP="00720DF0">
      <w:pPr>
        <w:jc w:val="center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4572000" cy="2768600"/>
            <wp:effectExtent l="19050" t="0" r="0" b="0"/>
            <wp:docPr id="2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F0" w:rsidRPr="00612F08" w:rsidRDefault="005952AC" w:rsidP="00720D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J</w:t>
      </w:r>
      <w:r w:rsidR="00720DF0" w:rsidRPr="00612F08">
        <w:rPr>
          <w:rFonts w:ascii="Arial" w:hAnsi="Arial" w:cs="Arial"/>
          <w:b/>
          <w:lang w:val="en-US"/>
        </w:rPr>
        <w:t>.</w:t>
      </w:r>
      <w:r w:rsidR="00720DF0" w:rsidRPr="00612F08">
        <w:rPr>
          <w:rFonts w:ascii="Arial" w:hAnsi="Arial" w:cs="Arial"/>
          <w:lang w:val="en-US"/>
        </w:rPr>
        <w:t xml:space="preserve"> </w:t>
      </w:r>
      <w:r w:rsidR="00720DF0" w:rsidRPr="00612F08">
        <w:rPr>
          <w:rFonts w:ascii="Arial" w:hAnsi="Arial" w:cs="Arial"/>
          <w:b/>
          <w:lang w:val="en-US"/>
        </w:rPr>
        <w:t>Reproducibility study results of NIF-1.</w:t>
      </w:r>
      <w:bookmarkStart w:id="0" w:name="_GoBack"/>
      <w:bookmarkEnd w:id="0"/>
    </w:p>
    <w:p w:rsidR="00245818" w:rsidRPr="00720DF0" w:rsidRDefault="00245818">
      <w:pPr>
        <w:rPr>
          <w:lang w:val="en-US"/>
        </w:rPr>
      </w:pPr>
    </w:p>
    <w:sectPr w:rsidR="00245818" w:rsidRPr="00720DF0" w:rsidSect="0088039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0DF0"/>
    <w:rsid w:val="000C25BC"/>
    <w:rsid w:val="00245818"/>
    <w:rsid w:val="005952AC"/>
    <w:rsid w:val="006D7E90"/>
    <w:rsid w:val="00720DF0"/>
    <w:rsid w:val="0088039C"/>
    <w:rsid w:val="00C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F0"/>
    <w:pPr>
      <w:spacing w:line="276" w:lineRule="auto"/>
    </w:pPr>
    <w:rPr>
      <w:rFonts w:ascii="Calibri" w:eastAsia="MS Mincho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F0"/>
    <w:rPr>
      <w:rFonts w:ascii="Tahoma" w:eastAsia="MS Mincho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Sheet1!$R$45</c:f>
              <c:strCache>
                <c:ptCount val="1"/>
                <c:pt idx="0">
                  <c:v>MEAN</c:v>
                </c:pt>
              </c:strCache>
            </c:strRef>
          </c:tx>
          <c:invertIfNegative val="0"/>
          <c:errBars>
            <c:errBarType val="plus"/>
            <c:errValType val="cust"/>
            <c:noEndCap val="0"/>
            <c:plus>
              <c:numRef>
                <c:f>Sheet1!$S$46:$U$46</c:f>
                <c:numCache>
                  <c:formatCode>General</c:formatCode>
                  <c:ptCount val="3"/>
                  <c:pt idx="0">
                    <c:v>14.415896318532099</c:v>
                  </c:pt>
                  <c:pt idx="1">
                    <c:v>137.41838304972228</c:v>
                  </c:pt>
                  <c:pt idx="2">
                    <c:v>3356.9367484856393</c:v>
                  </c:pt>
                </c:numCache>
              </c:numRef>
            </c:plus>
          </c:errBars>
          <c:cat>
            <c:strRef>
              <c:f>Sheet1!$S$44:$U$44</c:f>
              <c:strCache>
                <c:ptCount val="3"/>
                <c:pt idx="0">
                  <c:v>Low (n=6)</c:v>
                </c:pt>
                <c:pt idx="1">
                  <c:v>Medium (n=6)</c:v>
                </c:pt>
                <c:pt idx="2">
                  <c:v>High (n=6)</c:v>
                </c:pt>
              </c:strCache>
            </c:strRef>
          </c:cat>
          <c:val>
            <c:numRef>
              <c:f>Sheet1!$S$45:$U$45</c:f>
              <c:numCache>
                <c:formatCode>General</c:formatCode>
                <c:ptCount val="3"/>
                <c:pt idx="0">
                  <c:v>37.213333333333331</c:v>
                </c:pt>
                <c:pt idx="1">
                  <c:v>832.9</c:v>
                </c:pt>
                <c:pt idx="2">
                  <c:v>6144.6666666666861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452480"/>
        <c:axId val="64577536"/>
      </c:barChart>
      <c:catAx>
        <c:axId val="6445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577536"/>
        <c:crosses val="autoZero"/>
        <c:auto val="1"/>
        <c:lblAlgn val="ctr"/>
        <c:lblOffset val="100"/>
        <c:noMultiLvlLbl val="0"/>
      </c:catAx>
      <c:valAx>
        <c:axId val="645775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[PFN-1] (pg/ml)</a:t>
                </a:r>
              </a:p>
            </c:rich>
          </c:tx>
          <c:layout>
            <c:manualLayout>
              <c:xMode val="edge"/>
              <c:yMode val="edge"/>
              <c:x val="2.2222147572850407E-2"/>
              <c:y val="0.29257126818685297"/>
            </c:manualLayout>
          </c:layout>
          <c:overlay val="0"/>
          <c:spPr>
            <a:noFill/>
            <a:ln w="25367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64452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0.22908</cdr:x>
      <cdr:y>0.75853</cdr:y>
    </cdr:from>
    <cdr:to>
      <cdr:x>0.38767</cdr:x>
      <cdr:y>0.84758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6800" y="2047875"/>
          <a:ext cx="7239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CV=39%</a:t>
          </a:r>
          <a:endParaRPr lang="el-GR" sz="1100"/>
        </a:p>
      </cdr:txBody>
    </cdr:sp>
  </cdr:relSizeAnchor>
  <cdr:relSizeAnchor xmlns:cdr="http://schemas.openxmlformats.org/drawingml/2006/chartDrawing">
    <cdr:from>
      <cdr:x>0.49719</cdr:x>
      <cdr:y>0.6813</cdr:y>
    </cdr:from>
    <cdr:to>
      <cdr:x>0.65578</cdr:x>
      <cdr:y>0.77035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289175" y="1841500"/>
          <a:ext cx="7239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CV=16%</a:t>
          </a:r>
          <a:endParaRPr lang="el-GR" sz="1100"/>
        </a:p>
      </cdr:txBody>
    </cdr:sp>
  </cdr:relSizeAnchor>
  <cdr:relSizeAnchor xmlns:cdr="http://schemas.openxmlformats.org/drawingml/2006/chartDrawing">
    <cdr:from>
      <cdr:x>0.75836</cdr:x>
      <cdr:y>0.00091</cdr:y>
    </cdr:from>
    <cdr:to>
      <cdr:x>0.91694</cdr:x>
      <cdr:y>0.08221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479800" y="3175"/>
          <a:ext cx="7239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CV=55%</a:t>
          </a:r>
          <a:endParaRPr lang="el-GR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812</Words>
  <Characters>4629</Characters>
  <Application>Microsoft Office Word</Application>
  <DocSecurity>0</DocSecurity>
  <Lines>38</Lines>
  <Paragraphs>10</Paragraphs>
  <ScaleCrop>false</ScaleCrop>
  <Company>Grizli777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scanner 2</dc:creator>
  <cp:keywords/>
  <dc:description/>
  <cp:lastModifiedBy>georgia</cp:lastModifiedBy>
  <cp:revision>6</cp:revision>
  <dcterms:created xsi:type="dcterms:W3CDTF">2016-02-04T13:33:00Z</dcterms:created>
  <dcterms:modified xsi:type="dcterms:W3CDTF">2016-02-05T11:08:00Z</dcterms:modified>
</cp:coreProperties>
</file>