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9" w:rsidRPr="002D101A" w:rsidRDefault="00354075" w:rsidP="002D101A">
      <w:pPr>
        <w:pStyle w:val="berschrift1"/>
        <w:spacing w:line="276" w:lineRule="auto"/>
        <w:rPr>
          <w:rFonts w:asciiTheme="minorHAnsi" w:hAnsiTheme="minorHAnsi"/>
          <w:b w:val="0"/>
        </w:rPr>
      </w:pPr>
      <w:r w:rsidRPr="002D101A">
        <w:rPr>
          <w:rFonts w:asciiTheme="minorHAnsi" w:hAnsiTheme="minorHAnsi"/>
          <w:b w:val="0"/>
        </w:rPr>
        <w:t>Appendix S</w:t>
      </w:r>
      <w:r w:rsidR="00A51AA4">
        <w:rPr>
          <w:rFonts w:asciiTheme="minorHAnsi" w:hAnsiTheme="minorHAnsi"/>
          <w:b w:val="0"/>
        </w:rPr>
        <w:t>2 File</w:t>
      </w:r>
      <w:r w:rsidRPr="002D101A">
        <w:rPr>
          <w:rFonts w:asciiTheme="minorHAnsi" w:hAnsiTheme="minorHAnsi"/>
          <w:b w:val="0"/>
        </w:rPr>
        <w:t>: Environmental/topographic heterogeneity of both continents</w:t>
      </w:r>
    </w:p>
    <w:p w:rsidR="00354075" w:rsidRPr="00723D3A" w:rsidRDefault="00354075">
      <w:pPr>
        <w:rPr>
          <w:lang w:val="en-US"/>
        </w:rPr>
      </w:pPr>
    </w:p>
    <w:p w:rsidR="002D101A" w:rsidRDefault="002D101A" w:rsidP="002D10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E95398">
        <w:rPr>
          <w:sz w:val="28"/>
          <w:szCs w:val="28"/>
          <w:lang w:val="en-US"/>
        </w:rPr>
        <w:t>MATERIALS AND METHODS</w:t>
      </w:r>
    </w:p>
    <w:p w:rsidR="005D1186" w:rsidRPr="00723D3A" w:rsidRDefault="005D1186">
      <w:pPr>
        <w:rPr>
          <w:lang w:val="en-US"/>
        </w:rPr>
      </w:pPr>
      <w:r w:rsidRPr="00723D3A">
        <w:rPr>
          <w:lang w:val="en-US"/>
        </w:rPr>
        <w:t xml:space="preserve">We calculated summary statistics </w:t>
      </w:r>
      <w:r w:rsidR="00D96C66">
        <w:rPr>
          <w:lang w:val="en-US"/>
        </w:rPr>
        <w:t>with the</w:t>
      </w:r>
      <w:r w:rsidR="002D101A">
        <w:rPr>
          <w:lang w:val="en-US"/>
        </w:rPr>
        <w:t xml:space="preserve"> topographic information on the </w:t>
      </w:r>
      <w:r w:rsidR="00D96C66">
        <w:rPr>
          <w:lang w:val="en-US"/>
        </w:rPr>
        <w:t xml:space="preserve">temperate regions in </w:t>
      </w:r>
      <w:r w:rsidRPr="00723D3A">
        <w:rPr>
          <w:lang w:val="en-US"/>
        </w:rPr>
        <w:t>Europe and North A</w:t>
      </w:r>
      <w:r w:rsidR="005C6F12">
        <w:rPr>
          <w:lang w:val="en-US"/>
        </w:rPr>
        <w:t xml:space="preserve">merica. We chose two approaches to quantify environmental heterogeneity: 1) Since </w:t>
      </w:r>
      <w:r w:rsidRPr="00723D3A">
        <w:rPr>
          <w:lang w:val="en-US"/>
        </w:rPr>
        <w:t xml:space="preserve">the </w:t>
      </w:r>
      <w:r w:rsidR="005C6F12">
        <w:rPr>
          <w:lang w:val="en-US"/>
        </w:rPr>
        <w:t xml:space="preserve">analyzed </w:t>
      </w:r>
      <w:r w:rsidRPr="00723D3A">
        <w:rPr>
          <w:lang w:val="en-US"/>
        </w:rPr>
        <w:t xml:space="preserve">regions on both continents cover different extents of landmass, we sampled both </w:t>
      </w:r>
      <w:r w:rsidR="002D101A" w:rsidRPr="00723D3A">
        <w:rPr>
          <w:lang w:val="en-US"/>
        </w:rPr>
        <w:t>continents</w:t>
      </w:r>
      <w:r w:rsidRPr="00723D3A">
        <w:rPr>
          <w:lang w:val="en-US"/>
        </w:rPr>
        <w:t xml:space="preserve"> to the same number of grid</w:t>
      </w:r>
      <w:r w:rsidR="002D101A">
        <w:rPr>
          <w:lang w:val="en-US"/>
        </w:rPr>
        <w:t xml:space="preserve"> cells 999 times and used W</w:t>
      </w:r>
      <w:r w:rsidRPr="00723D3A">
        <w:rPr>
          <w:lang w:val="en-US"/>
        </w:rPr>
        <w:t>ilcoxon</w:t>
      </w:r>
      <w:r w:rsidR="0085678E">
        <w:rPr>
          <w:lang w:val="en-US"/>
        </w:rPr>
        <w:t xml:space="preserve"> </w:t>
      </w:r>
      <w:r w:rsidRPr="00723D3A">
        <w:rPr>
          <w:lang w:val="en-US"/>
        </w:rPr>
        <w:t xml:space="preserve">signed-rank tests to </w:t>
      </w:r>
      <w:r w:rsidR="00D96C66">
        <w:rPr>
          <w:lang w:val="en-US"/>
        </w:rPr>
        <w:t>test for</w:t>
      </w:r>
      <w:r w:rsidR="00875A6F" w:rsidRPr="00723D3A">
        <w:rPr>
          <w:lang w:val="en-US"/>
        </w:rPr>
        <w:t xml:space="preserve"> differences between the </w:t>
      </w:r>
      <w:r w:rsidR="005C6F12">
        <w:rPr>
          <w:lang w:val="en-US"/>
        </w:rPr>
        <w:t>sample</w:t>
      </w:r>
      <w:r w:rsidR="00D96C66">
        <w:rPr>
          <w:lang w:val="en-US"/>
        </w:rPr>
        <w:t>d</w:t>
      </w:r>
      <w:r w:rsidR="005C6F12">
        <w:rPr>
          <w:lang w:val="en-US"/>
        </w:rPr>
        <w:t xml:space="preserve"> </w:t>
      </w:r>
      <w:r w:rsidR="00875A6F" w:rsidRPr="00723D3A">
        <w:rPr>
          <w:lang w:val="en-US"/>
        </w:rPr>
        <w:t>mean</w:t>
      </w:r>
      <w:r w:rsidRPr="00723D3A">
        <w:rPr>
          <w:lang w:val="en-US"/>
        </w:rPr>
        <w:t xml:space="preserve"> values </w:t>
      </w:r>
      <w:r w:rsidR="00875A6F" w:rsidRPr="00723D3A">
        <w:rPr>
          <w:lang w:val="en-US"/>
        </w:rPr>
        <w:t xml:space="preserve">and standard deviations </w:t>
      </w:r>
      <w:r w:rsidR="00C742EE">
        <w:rPr>
          <w:lang w:val="en-US"/>
        </w:rPr>
        <w:t xml:space="preserve">in altitude </w:t>
      </w:r>
      <w:r w:rsidR="005C6F12">
        <w:rPr>
          <w:lang w:val="en-US"/>
        </w:rPr>
        <w:t>between the continents. We used</w:t>
      </w:r>
      <w:r w:rsidRPr="00723D3A">
        <w:rPr>
          <w:lang w:val="en-US"/>
        </w:rPr>
        <w:t xml:space="preserve"> bootstrap test</w:t>
      </w:r>
      <w:r w:rsidR="005C6F12">
        <w:rPr>
          <w:lang w:val="en-US"/>
        </w:rPr>
        <w:t>s</w:t>
      </w:r>
      <w:r w:rsidRPr="00723D3A">
        <w:rPr>
          <w:lang w:val="en-US"/>
        </w:rPr>
        <w:t xml:space="preserve"> </w:t>
      </w:r>
      <w:r w:rsidR="005C6F12">
        <w:rPr>
          <w:lang w:val="en-US"/>
        </w:rPr>
        <w:t>with</w:t>
      </w:r>
      <w:r w:rsidRPr="00723D3A">
        <w:rPr>
          <w:lang w:val="en-US"/>
        </w:rPr>
        <w:t xml:space="preserve"> 999 permutations </w:t>
      </w:r>
      <w:r w:rsidR="00212260" w:rsidRPr="00723D3A">
        <w:rPr>
          <w:lang w:val="en-US"/>
        </w:rPr>
        <w:t>on the W-</w:t>
      </w:r>
      <w:r w:rsidR="002D101A">
        <w:rPr>
          <w:lang w:val="en-US"/>
        </w:rPr>
        <w:t>s</w:t>
      </w:r>
      <w:r w:rsidR="00212260" w:rsidRPr="00723D3A">
        <w:rPr>
          <w:lang w:val="en-US"/>
        </w:rPr>
        <w:t>tatistic</w:t>
      </w:r>
      <w:r w:rsidR="002D101A">
        <w:rPr>
          <w:lang w:val="en-US"/>
        </w:rPr>
        <w:t>s</w:t>
      </w:r>
      <w:r w:rsidR="00212260" w:rsidRPr="00723D3A">
        <w:rPr>
          <w:lang w:val="en-US"/>
        </w:rPr>
        <w:t xml:space="preserve"> </w:t>
      </w:r>
      <w:r w:rsidRPr="00723D3A">
        <w:rPr>
          <w:lang w:val="en-US"/>
        </w:rPr>
        <w:t>to infer the central tendencies and the robustness from these samples.</w:t>
      </w:r>
      <w:r w:rsidR="00875A6F" w:rsidRPr="00723D3A">
        <w:rPr>
          <w:lang w:val="en-US"/>
        </w:rPr>
        <w:t xml:space="preserve"> </w:t>
      </w:r>
      <w:r w:rsidR="005C6F12">
        <w:rPr>
          <w:lang w:val="en-US"/>
        </w:rPr>
        <w:t>2)</w:t>
      </w:r>
      <w:r w:rsidR="00C05068">
        <w:rPr>
          <w:lang w:val="en-US"/>
        </w:rPr>
        <w:t xml:space="preserve"> </w:t>
      </w:r>
      <w:r w:rsidR="005C6F12">
        <w:rPr>
          <w:lang w:val="en-US"/>
        </w:rPr>
        <w:t>Altitudinal maps have a resolution of 5</w:t>
      </w:r>
      <w:r w:rsidR="00D96C66">
        <w:rPr>
          <w:lang w:val="en-US"/>
        </w:rPr>
        <w:t xml:space="preserve"> </w:t>
      </w:r>
      <w:r w:rsidR="005C6F12">
        <w:rPr>
          <w:lang w:val="en-US"/>
        </w:rPr>
        <w:t>arc</w:t>
      </w:r>
      <w:r w:rsidR="0085678E">
        <w:rPr>
          <w:lang w:val="en-US"/>
        </w:rPr>
        <w:t xml:space="preserve"> </w:t>
      </w:r>
      <w:r w:rsidR="005C6F12">
        <w:rPr>
          <w:lang w:val="en-US"/>
        </w:rPr>
        <w:t>min which equals an area of app. 30 x 30 km close to the equator. We aggregated these high resolution maps to the resolution of 1 degree which is</w:t>
      </w:r>
      <w:r w:rsidR="00D96C66">
        <w:rPr>
          <w:lang w:val="en-US"/>
        </w:rPr>
        <w:t xml:space="preserve"> app. 100 x 10</w:t>
      </w:r>
      <w:r w:rsidR="005C6F12">
        <w:rPr>
          <w:lang w:val="en-US"/>
        </w:rPr>
        <w:t>0 km close to the equator (3 x 3 grid cells of 5 arc</w:t>
      </w:r>
      <w:r w:rsidR="0085678E">
        <w:rPr>
          <w:lang w:val="en-US"/>
        </w:rPr>
        <w:t xml:space="preserve"> </w:t>
      </w:r>
      <w:r w:rsidR="005C6F12">
        <w:rPr>
          <w:lang w:val="en-US"/>
        </w:rPr>
        <w:t xml:space="preserve">min resolution </w:t>
      </w:r>
      <w:r w:rsidR="00D96C66">
        <w:rPr>
          <w:lang w:val="en-US"/>
        </w:rPr>
        <w:t>form</w:t>
      </w:r>
      <w:r w:rsidR="005C6F12">
        <w:rPr>
          <w:lang w:val="en-US"/>
        </w:rPr>
        <w:t xml:space="preserve"> one grid cell of 1 degree resolution) and used the standard deviation of the aggregated grid cells as a measure of spatial heterogeneity. We sampled the s</w:t>
      </w:r>
      <w:r w:rsidR="00D96C66">
        <w:rPr>
          <w:lang w:val="en-US"/>
        </w:rPr>
        <w:t xml:space="preserve">tandard </w:t>
      </w:r>
      <w:r w:rsidR="005C6F12">
        <w:rPr>
          <w:lang w:val="en-US"/>
        </w:rPr>
        <w:t>d</w:t>
      </w:r>
      <w:r w:rsidR="00F865D4">
        <w:rPr>
          <w:lang w:val="en-US"/>
        </w:rPr>
        <w:t>evi</w:t>
      </w:r>
      <w:r w:rsidR="00D96C66">
        <w:rPr>
          <w:lang w:val="en-US"/>
        </w:rPr>
        <w:t>ation</w:t>
      </w:r>
      <w:r w:rsidR="005C6F12">
        <w:rPr>
          <w:lang w:val="en-US"/>
        </w:rPr>
        <w:t xml:space="preserve">-values of both continents to the same number and compared the mean </w:t>
      </w:r>
      <w:r w:rsidR="00C742EE">
        <w:rPr>
          <w:lang w:val="en-US"/>
        </w:rPr>
        <w:t xml:space="preserve">values with Wilcoxon signed-rank </w:t>
      </w:r>
      <w:r w:rsidR="005C6F12">
        <w:rPr>
          <w:lang w:val="en-US"/>
        </w:rPr>
        <w:t>tests.</w:t>
      </w:r>
      <w:r w:rsidR="005C6F12" w:rsidRPr="005C6F12">
        <w:rPr>
          <w:lang w:val="en-US"/>
        </w:rPr>
        <w:t xml:space="preserve"> </w:t>
      </w:r>
      <w:r w:rsidR="005C6F12">
        <w:rPr>
          <w:lang w:val="en-US"/>
        </w:rPr>
        <w:t>We used</w:t>
      </w:r>
      <w:r w:rsidR="005C6F12" w:rsidRPr="00723D3A">
        <w:rPr>
          <w:lang w:val="en-US"/>
        </w:rPr>
        <w:t xml:space="preserve"> bootstrap test</w:t>
      </w:r>
      <w:r w:rsidR="005C6F12">
        <w:rPr>
          <w:lang w:val="en-US"/>
        </w:rPr>
        <w:t>s</w:t>
      </w:r>
      <w:r w:rsidR="005C6F12" w:rsidRPr="00723D3A">
        <w:rPr>
          <w:lang w:val="en-US"/>
        </w:rPr>
        <w:t xml:space="preserve"> </w:t>
      </w:r>
      <w:r w:rsidR="005C6F12">
        <w:rPr>
          <w:lang w:val="en-US"/>
        </w:rPr>
        <w:t>with</w:t>
      </w:r>
      <w:r w:rsidR="005C6F12" w:rsidRPr="00723D3A">
        <w:rPr>
          <w:lang w:val="en-US"/>
        </w:rPr>
        <w:t xml:space="preserve"> 999 permutations on the W-</w:t>
      </w:r>
      <w:r w:rsidR="005C6F12">
        <w:rPr>
          <w:lang w:val="en-US"/>
        </w:rPr>
        <w:t>s</w:t>
      </w:r>
      <w:r w:rsidR="005C6F12" w:rsidRPr="00723D3A">
        <w:rPr>
          <w:lang w:val="en-US"/>
        </w:rPr>
        <w:t>tatistic</w:t>
      </w:r>
      <w:r w:rsidR="005C6F12">
        <w:rPr>
          <w:lang w:val="en-US"/>
        </w:rPr>
        <w:t>s</w:t>
      </w:r>
      <w:r w:rsidR="005C6F12" w:rsidRPr="00723D3A">
        <w:rPr>
          <w:lang w:val="en-US"/>
        </w:rPr>
        <w:t xml:space="preserve"> to infer the central</w:t>
      </w:r>
      <w:r w:rsidR="005C6F12">
        <w:rPr>
          <w:lang w:val="en-US"/>
        </w:rPr>
        <w:t xml:space="preserve"> tendencies and the robustness of</w:t>
      </w:r>
      <w:r w:rsidR="005C6F12" w:rsidRPr="00723D3A">
        <w:rPr>
          <w:lang w:val="en-US"/>
        </w:rPr>
        <w:t xml:space="preserve"> these samples.</w:t>
      </w:r>
    </w:p>
    <w:p w:rsidR="005D1186" w:rsidRPr="00723D3A" w:rsidRDefault="005D1186">
      <w:pPr>
        <w:rPr>
          <w:lang w:val="en-US"/>
        </w:rPr>
      </w:pPr>
    </w:p>
    <w:p w:rsidR="002D101A" w:rsidRDefault="002D101A" w:rsidP="002D101A">
      <w:pPr>
        <w:rPr>
          <w:sz w:val="28"/>
          <w:szCs w:val="28"/>
          <w:lang w:val="en-US"/>
        </w:rPr>
      </w:pPr>
      <w:r w:rsidRPr="00E95398">
        <w:rPr>
          <w:sz w:val="28"/>
          <w:szCs w:val="28"/>
          <w:lang w:val="en-US"/>
        </w:rPr>
        <w:t>2. R</w:t>
      </w:r>
      <w:r>
        <w:rPr>
          <w:sz w:val="28"/>
          <w:szCs w:val="28"/>
          <w:lang w:val="en-US"/>
        </w:rPr>
        <w:t>ESULTS</w:t>
      </w:r>
    </w:p>
    <w:p w:rsidR="00D05B60" w:rsidRPr="00D05B60" w:rsidRDefault="00D05B60">
      <w:pPr>
        <w:rPr>
          <w:i/>
          <w:lang w:val="en-US"/>
        </w:rPr>
      </w:pPr>
      <w:r w:rsidRPr="00D05B60">
        <w:rPr>
          <w:i/>
          <w:lang w:val="en-US"/>
        </w:rPr>
        <w:t>summary statistics</w:t>
      </w:r>
    </w:p>
    <w:p w:rsidR="005D1186" w:rsidRDefault="00D05B60">
      <w:pPr>
        <w:rPr>
          <w:lang w:val="en-US"/>
        </w:rPr>
      </w:pPr>
      <w:r>
        <w:rPr>
          <w:lang w:val="en-US"/>
        </w:rPr>
        <w:t>The</w:t>
      </w:r>
      <w:r w:rsidR="00A0500F" w:rsidRPr="00723D3A">
        <w:rPr>
          <w:lang w:val="en-US"/>
        </w:rPr>
        <w:t xml:space="preserve"> sample of the</w:t>
      </w:r>
      <w:r w:rsidR="005D1186" w:rsidRPr="00723D3A">
        <w:rPr>
          <w:lang w:val="en-US"/>
        </w:rPr>
        <w:t xml:space="preserve"> North American temperate region is on average</w:t>
      </w:r>
      <w:r w:rsidR="00A0500F" w:rsidRPr="00723D3A">
        <w:rPr>
          <w:lang w:val="en-US"/>
        </w:rPr>
        <w:t xml:space="preserve"> </w:t>
      </w:r>
      <w:r w:rsidR="00C05068">
        <w:rPr>
          <w:lang w:val="en-US"/>
        </w:rPr>
        <w:t xml:space="preserve">20 m (mean) to </w:t>
      </w:r>
      <w:r w:rsidR="00A0500F" w:rsidRPr="00723D3A">
        <w:rPr>
          <w:lang w:val="en-US"/>
        </w:rPr>
        <w:t>80</w:t>
      </w:r>
      <w:r w:rsidR="00C05068">
        <w:rPr>
          <w:lang w:val="en-US"/>
        </w:rPr>
        <w:t xml:space="preserve"> m (median)</w:t>
      </w:r>
      <w:r w:rsidR="00A0500F" w:rsidRPr="00723D3A">
        <w:rPr>
          <w:lang w:val="en-US"/>
        </w:rPr>
        <w:t xml:space="preserve"> higher in altitude than the European sample</w:t>
      </w:r>
      <w:r>
        <w:rPr>
          <w:lang w:val="en-US"/>
        </w:rPr>
        <w:t xml:space="preserve"> (</w:t>
      </w:r>
      <w:r w:rsidR="002D03EE">
        <w:rPr>
          <w:lang w:val="en-US"/>
        </w:rPr>
        <w:fldChar w:fldCharType="begin"/>
      </w:r>
      <w:r>
        <w:rPr>
          <w:lang w:val="en-US"/>
        </w:rPr>
        <w:instrText xml:space="preserve"> REF _Ref438480043 \h </w:instrText>
      </w:r>
      <w:r w:rsidR="002D03EE">
        <w:rPr>
          <w:lang w:val="en-US"/>
        </w:rPr>
      </w:r>
      <w:r w:rsidR="002D03EE">
        <w:rPr>
          <w:lang w:val="en-US"/>
        </w:rPr>
        <w:fldChar w:fldCharType="separate"/>
      </w:r>
      <w:r w:rsidRPr="00723D3A">
        <w:rPr>
          <w:lang w:val="en-US"/>
        </w:rPr>
        <w:t xml:space="preserve">Table </w:t>
      </w:r>
      <w:r w:rsidRPr="00723D3A">
        <w:rPr>
          <w:noProof/>
          <w:lang w:val="en-US"/>
        </w:rPr>
        <w:t>1</w:t>
      </w:r>
      <w:r w:rsidR="002D03EE">
        <w:rPr>
          <w:lang w:val="en-US"/>
        </w:rPr>
        <w:fldChar w:fldCharType="end"/>
      </w:r>
      <w:r>
        <w:rPr>
          <w:lang w:val="en-US"/>
        </w:rPr>
        <w:t>)</w:t>
      </w:r>
      <w:r w:rsidR="00A0500F" w:rsidRPr="00723D3A">
        <w:rPr>
          <w:lang w:val="en-US"/>
        </w:rPr>
        <w:t xml:space="preserve">. </w:t>
      </w:r>
      <w:r>
        <w:rPr>
          <w:lang w:val="en-US"/>
        </w:rPr>
        <w:t>T</w:t>
      </w:r>
      <w:r w:rsidR="00A0500F" w:rsidRPr="00723D3A">
        <w:rPr>
          <w:lang w:val="en-US"/>
        </w:rPr>
        <w:t>he distribution of altitud</w:t>
      </w:r>
      <w:r>
        <w:rPr>
          <w:lang w:val="en-US"/>
        </w:rPr>
        <w:t xml:space="preserve">es </w:t>
      </w:r>
      <w:r w:rsidR="00A0500F" w:rsidRPr="00723D3A">
        <w:rPr>
          <w:lang w:val="en-US"/>
        </w:rPr>
        <w:t>differs between both continents</w:t>
      </w:r>
      <w:r>
        <w:rPr>
          <w:lang w:val="en-US"/>
        </w:rPr>
        <w:t xml:space="preserve"> (</w:t>
      </w:r>
      <w:r w:rsidR="002D03EE">
        <w:rPr>
          <w:lang w:val="en-US"/>
        </w:rPr>
        <w:fldChar w:fldCharType="begin"/>
      </w:r>
      <w:r>
        <w:rPr>
          <w:lang w:val="en-US"/>
        </w:rPr>
        <w:instrText xml:space="preserve"> REF _Ref438480079 \h </w:instrText>
      </w:r>
      <w:r w:rsidR="002D03EE">
        <w:rPr>
          <w:lang w:val="en-US"/>
        </w:rPr>
      </w:r>
      <w:r w:rsidR="002D03EE">
        <w:rPr>
          <w:lang w:val="en-US"/>
        </w:rPr>
        <w:fldChar w:fldCharType="separate"/>
      </w:r>
      <w:r w:rsidRPr="00723D3A">
        <w:rPr>
          <w:lang w:val="en-US"/>
        </w:rPr>
        <w:t>Figure 1</w:t>
      </w:r>
      <w:r w:rsidR="002D03EE">
        <w:rPr>
          <w:lang w:val="en-US"/>
        </w:rPr>
        <w:fldChar w:fldCharType="end"/>
      </w:r>
      <w:r>
        <w:rPr>
          <w:lang w:val="en-US"/>
        </w:rPr>
        <w:t>)</w:t>
      </w:r>
      <w:r w:rsidR="00A0500F" w:rsidRPr="00723D3A">
        <w:rPr>
          <w:lang w:val="en-US"/>
        </w:rPr>
        <w:t>.</w:t>
      </w:r>
    </w:p>
    <w:p w:rsidR="00516204" w:rsidRDefault="00516204" w:rsidP="002D101A">
      <w:pPr>
        <w:rPr>
          <w:lang w:val="en-US"/>
        </w:rPr>
      </w:pPr>
      <w:bookmarkStart w:id="0" w:name="_Ref438480043"/>
    </w:p>
    <w:p w:rsidR="005D1186" w:rsidRPr="00723D3A" w:rsidRDefault="005D1186" w:rsidP="002D101A">
      <w:pPr>
        <w:rPr>
          <w:lang w:val="en-US"/>
        </w:rPr>
      </w:pPr>
      <w:r w:rsidRPr="00723D3A">
        <w:rPr>
          <w:lang w:val="en-US"/>
        </w:rPr>
        <w:t xml:space="preserve">Table </w:t>
      </w:r>
      <w:r w:rsidR="002D03EE" w:rsidRPr="00723D3A">
        <w:fldChar w:fldCharType="begin"/>
      </w:r>
      <w:r w:rsidRPr="00723D3A">
        <w:rPr>
          <w:lang w:val="en-US"/>
        </w:rPr>
        <w:instrText xml:space="preserve"> SEQ Table \* ARABIC </w:instrText>
      </w:r>
      <w:r w:rsidR="002D03EE" w:rsidRPr="00723D3A">
        <w:fldChar w:fldCharType="separate"/>
      </w:r>
      <w:r w:rsidR="00C05068">
        <w:rPr>
          <w:noProof/>
          <w:lang w:val="en-US"/>
        </w:rPr>
        <w:t>1</w:t>
      </w:r>
      <w:r w:rsidR="002D03EE" w:rsidRPr="00723D3A">
        <w:fldChar w:fldCharType="end"/>
      </w:r>
      <w:bookmarkEnd w:id="0"/>
      <w:r w:rsidR="002D101A" w:rsidRPr="002D101A">
        <w:rPr>
          <w:lang w:val="en-US"/>
        </w:rPr>
        <w:t xml:space="preserve"> </w:t>
      </w:r>
      <w:r w:rsidRPr="00723D3A">
        <w:rPr>
          <w:lang w:val="en-US"/>
        </w:rPr>
        <w:t xml:space="preserve">Summary statistics </w:t>
      </w:r>
      <w:r w:rsidR="002D101A">
        <w:rPr>
          <w:lang w:val="en-US"/>
        </w:rPr>
        <w:t xml:space="preserve">of topographic information on </w:t>
      </w:r>
      <w:r w:rsidRPr="00723D3A">
        <w:rPr>
          <w:lang w:val="en-US"/>
        </w:rPr>
        <w:t>the analyzed regions.</w:t>
      </w:r>
    </w:p>
    <w:tbl>
      <w:tblPr>
        <w:tblW w:w="4693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8"/>
        <w:gridCol w:w="1276"/>
        <w:gridCol w:w="1559"/>
      </w:tblGrid>
      <w:tr w:rsidR="00354075" w:rsidRPr="00723D3A" w:rsidTr="002D101A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Europe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North America</w:t>
            </w:r>
          </w:p>
        </w:tc>
      </w:tr>
      <w:tr w:rsidR="00354075" w:rsidRPr="00723D3A" w:rsidTr="002D101A">
        <w:trPr>
          <w:trHeight w:val="30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Min [m]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-22</w:t>
            </w:r>
          </w:p>
        </w:tc>
      </w:tr>
      <w:tr w:rsidR="00354075" w:rsidRPr="00723D3A" w:rsidTr="002D101A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1st Quantile [m]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121</w:t>
            </w:r>
          </w:p>
        </w:tc>
      </w:tr>
      <w:tr w:rsidR="00D05B60" w:rsidRPr="00723D3A" w:rsidTr="002D101A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05B60" w:rsidRPr="00723D3A" w:rsidRDefault="00D05B60" w:rsidP="00354075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Mean [m]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5B60" w:rsidRPr="00723D3A" w:rsidRDefault="00D05B60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198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5B60" w:rsidRPr="00723D3A" w:rsidRDefault="00D05B60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223.5</w:t>
            </w:r>
          </w:p>
        </w:tc>
      </w:tr>
      <w:tr w:rsidR="00354075" w:rsidRPr="00723D3A" w:rsidTr="002D101A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Median [m]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142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218</w:t>
            </w:r>
          </w:p>
        </w:tc>
      </w:tr>
      <w:tr w:rsidR="00354075" w:rsidRPr="00723D3A" w:rsidTr="002D101A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3rd Quantile [m]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254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4075" w:rsidRPr="00723D3A" w:rsidRDefault="00354075" w:rsidP="003540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723D3A">
              <w:rPr>
                <w:rFonts w:eastAsia="Times New Roman" w:cs="Times New Roman"/>
                <w:color w:val="000000"/>
                <w:lang w:eastAsia="de-DE"/>
              </w:rPr>
              <w:t>311</w:t>
            </w:r>
          </w:p>
        </w:tc>
      </w:tr>
    </w:tbl>
    <w:p w:rsidR="00354075" w:rsidRPr="00723D3A" w:rsidRDefault="00354075"/>
    <w:p w:rsidR="00354075" w:rsidRPr="00723D3A" w:rsidRDefault="00354075"/>
    <w:p w:rsidR="005D1186" w:rsidRPr="00723D3A" w:rsidRDefault="00354075" w:rsidP="005D1186">
      <w:pPr>
        <w:keepNext/>
      </w:pPr>
      <w:r w:rsidRPr="00723D3A">
        <w:rPr>
          <w:noProof/>
          <w:lang w:val="en-GB" w:eastAsia="en-GB"/>
        </w:rPr>
        <w:lastRenderedPageBreak/>
        <w:drawing>
          <wp:inline distT="0" distB="0" distL="0" distR="0">
            <wp:extent cx="5579745" cy="3661410"/>
            <wp:effectExtent l="19050" t="0" r="1905" b="0"/>
            <wp:docPr id="3" name="Grafik 2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75" w:rsidRPr="00723D3A" w:rsidRDefault="005D1186" w:rsidP="002D101A">
      <w:pPr>
        <w:rPr>
          <w:lang w:val="en-US"/>
        </w:rPr>
      </w:pPr>
      <w:bookmarkStart w:id="1" w:name="_Ref438480079"/>
      <w:r w:rsidRPr="00723D3A">
        <w:rPr>
          <w:lang w:val="en-US"/>
        </w:rPr>
        <w:t xml:space="preserve">Figure </w:t>
      </w:r>
      <w:r w:rsidR="002D03EE" w:rsidRPr="002D101A">
        <w:rPr>
          <w:lang w:val="en-US"/>
        </w:rPr>
        <w:fldChar w:fldCharType="begin"/>
      </w:r>
      <w:r w:rsidRPr="00723D3A">
        <w:rPr>
          <w:lang w:val="en-US"/>
        </w:rPr>
        <w:instrText xml:space="preserve"> SEQ Figure \* ARABIC </w:instrText>
      </w:r>
      <w:r w:rsidR="002D03EE" w:rsidRPr="002D101A">
        <w:rPr>
          <w:lang w:val="en-US"/>
        </w:rPr>
        <w:fldChar w:fldCharType="separate"/>
      </w:r>
      <w:r w:rsidRPr="00723D3A">
        <w:rPr>
          <w:lang w:val="en-US"/>
        </w:rPr>
        <w:t>1</w:t>
      </w:r>
      <w:r w:rsidR="002D03EE" w:rsidRPr="002D101A">
        <w:rPr>
          <w:lang w:val="en-US"/>
        </w:rPr>
        <w:fldChar w:fldCharType="end"/>
      </w:r>
      <w:bookmarkEnd w:id="1"/>
      <w:r w:rsidRPr="00723D3A">
        <w:rPr>
          <w:lang w:val="en-US"/>
        </w:rPr>
        <w:t xml:space="preserve"> Histograms and Box-Whisker-Plots for the analyzed regions.</w:t>
      </w:r>
    </w:p>
    <w:p w:rsidR="00354075" w:rsidRPr="00723D3A" w:rsidRDefault="00354075">
      <w:pPr>
        <w:rPr>
          <w:lang w:val="en-US"/>
        </w:rPr>
      </w:pPr>
    </w:p>
    <w:p w:rsidR="00354075" w:rsidRPr="00D05B60" w:rsidRDefault="00D96C66">
      <w:pPr>
        <w:rPr>
          <w:i/>
          <w:lang w:val="en-US"/>
        </w:rPr>
      </w:pPr>
      <w:r>
        <w:rPr>
          <w:i/>
          <w:lang w:val="en-US"/>
        </w:rPr>
        <w:t>First test for</w:t>
      </w:r>
      <w:r w:rsidR="00D05B60" w:rsidRPr="00D05B60">
        <w:rPr>
          <w:i/>
          <w:lang w:val="en-US"/>
        </w:rPr>
        <w:t xml:space="preserve"> environmental heterogeneity</w:t>
      </w:r>
    </w:p>
    <w:p w:rsidR="00354075" w:rsidRPr="00723D3A" w:rsidRDefault="0085678E">
      <w:pPr>
        <w:rPr>
          <w:lang w:val="en-US"/>
        </w:rPr>
      </w:pPr>
      <w:r>
        <w:rPr>
          <w:lang w:val="en-US"/>
        </w:rPr>
        <w:t>T</w:t>
      </w:r>
      <w:r w:rsidR="00C05068">
        <w:rPr>
          <w:lang w:val="en-US"/>
        </w:rPr>
        <w:t>he mean altitude</w:t>
      </w:r>
      <w:r w:rsidR="00C742EE">
        <w:rPr>
          <w:lang w:val="en-US"/>
        </w:rPr>
        <w:t xml:space="preserve"> of grid cells (5 arc min resolution)</w:t>
      </w:r>
      <w:r w:rsidR="00C05068">
        <w:rPr>
          <w:lang w:val="en-US"/>
        </w:rPr>
        <w:t xml:space="preserve"> is significantly higher </w:t>
      </w:r>
      <w:r>
        <w:rPr>
          <w:lang w:val="en-US"/>
        </w:rPr>
        <w:t xml:space="preserve">in Europe than in North America </w:t>
      </w:r>
      <w:r w:rsidR="00C742EE">
        <w:rPr>
          <w:lang w:val="en-US"/>
        </w:rPr>
        <w:t>in</w:t>
      </w:r>
      <w:r w:rsidR="00C05068">
        <w:rPr>
          <w:lang w:val="en-US"/>
        </w:rPr>
        <w:t xml:space="preserve"> </w:t>
      </w:r>
      <w:r w:rsidR="007D26FE">
        <w:rPr>
          <w:lang w:val="en-US"/>
        </w:rPr>
        <w:t>sub</w:t>
      </w:r>
      <w:r>
        <w:rPr>
          <w:lang w:val="en-US"/>
        </w:rPr>
        <w:t>region 1 and 2 (</w:t>
      </w:r>
      <w:r w:rsidR="002D03EE">
        <w:rPr>
          <w:lang w:val="en-US"/>
        </w:rPr>
        <w:fldChar w:fldCharType="begin"/>
      </w:r>
      <w:r>
        <w:rPr>
          <w:lang w:val="en-US"/>
        </w:rPr>
        <w:instrText xml:space="preserve"> REF _Ref440615873 \h </w:instrText>
      </w:r>
      <w:r w:rsidR="002D03EE">
        <w:rPr>
          <w:lang w:val="en-US"/>
        </w:rPr>
      </w:r>
      <w:r w:rsidR="002D03EE">
        <w:rPr>
          <w:lang w:val="en-US"/>
        </w:rPr>
        <w:fldChar w:fldCharType="separate"/>
      </w:r>
      <w:r>
        <w:rPr>
          <w:lang w:val="en-US"/>
        </w:rPr>
        <w:t>Tab</w:t>
      </w:r>
      <w:r w:rsidRPr="0085678E">
        <w:rPr>
          <w:lang w:val="en-US"/>
        </w:rPr>
        <w:t>le 1</w:t>
      </w:r>
      <w:r w:rsidR="002D03EE">
        <w:rPr>
          <w:lang w:val="en-US"/>
        </w:rPr>
        <w:fldChar w:fldCharType="end"/>
      </w:r>
      <w:r w:rsidR="00516204">
        <w:rPr>
          <w:lang w:val="en-US"/>
        </w:rPr>
        <w:t>)</w:t>
      </w:r>
      <w:r>
        <w:rPr>
          <w:lang w:val="en-US"/>
        </w:rPr>
        <w:t xml:space="preserve">. In </w:t>
      </w:r>
      <w:r w:rsidR="007D26FE">
        <w:rPr>
          <w:lang w:val="en-US"/>
        </w:rPr>
        <w:t>sub</w:t>
      </w:r>
      <w:r>
        <w:rPr>
          <w:lang w:val="en-US"/>
        </w:rPr>
        <w:t xml:space="preserve">region 3 and 4, as </w:t>
      </w:r>
      <w:r w:rsidR="00C05068">
        <w:rPr>
          <w:lang w:val="en-US"/>
        </w:rPr>
        <w:t xml:space="preserve">well as </w:t>
      </w:r>
      <w:r w:rsidR="00516204">
        <w:rPr>
          <w:lang w:val="en-US"/>
        </w:rPr>
        <w:t>for</w:t>
      </w:r>
      <w:r w:rsidR="00C05068">
        <w:rPr>
          <w:lang w:val="en-US"/>
        </w:rPr>
        <w:t xml:space="preserve"> the whole temperate region</w:t>
      </w:r>
      <w:r w:rsidR="00C742EE">
        <w:rPr>
          <w:lang w:val="en-US"/>
        </w:rPr>
        <w:t>,</w:t>
      </w:r>
      <w:r>
        <w:rPr>
          <w:lang w:val="en-US"/>
        </w:rPr>
        <w:t xml:space="preserve"> the mean altitude is higher in North America than in Europe. However, the </w:t>
      </w:r>
      <w:r w:rsidR="00C05068">
        <w:rPr>
          <w:lang w:val="en-US"/>
        </w:rPr>
        <w:t>standard deviation around th</w:t>
      </w:r>
      <w:r w:rsidR="00516204">
        <w:rPr>
          <w:lang w:val="en-US"/>
        </w:rPr>
        <w:t>ese</w:t>
      </w:r>
      <w:r w:rsidR="00C05068">
        <w:rPr>
          <w:lang w:val="en-US"/>
        </w:rPr>
        <w:t xml:space="preserve"> mean value</w:t>
      </w:r>
      <w:r w:rsidR="00516204">
        <w:rPr>
          <w:lang w:val="en-US"/>
        </w:rPr>
        <w:t>s</w:t>
      </w:r>
      <w:r w:rsidR="00C05068">
        <w:rPr>
          <w:lang w:val="en-US"/>
        </w:rPr>
        <w:t xml:space="preserve"> is </w:t>
      </w:r>
      <w:r w:rsidR="00516204">
        <w:rPr>
          <w:lang w:val="en-US"/>
        </w:rPr>
        <w:t xml:space="preserve">significantly </w:t>
      </w:r>
      <w:r w:rsidR="00C05068">
        <w:rPr>
          <w:lang w:val="en-US"/>
        </w:rPr>
        <w:t xml:space="preserve">higher in Europe than in North America </w:t>
      </w:r>
      <w:r w:rsidR="00C742EE">
        <w:rPr>
          <w:lang w:val="en-US"/>
        </w:rPr>
        <w:t xml:space="preserve">for all subregions and for the whole temperate region </w:t>
      </w:r>
      <w:r w:rsidR="00C05068">
        <w:rPr>
          <w:lang w:val="en-US"/>
        </w:rPr>
        <w:t>(</w:t>
      </w:r>
      <w:r w:rsidR="002D03EE">
        <w:rPr>
          <w:lang w:val="en-US"/>
        </w:rPr>
        <w:fldChar w:fldCharType="begin"/>
      </w:r>
      <w:r w:rsidR="00C05068">
        <w:rPr>
          <w:lang w:val="en-US"/>
        </w:rPr>
        <w:instrText xml:space="preserve"> REF _Ref438481009 \h </w:instrText>
      </w:r>
      <w:r w:rsidR="002D03EE">
        <w:rPr>
          <w:lang w:val="en-US"/>
        </w:rPr>
      </w:r>
      <w:r w:rsidR="002D03EE">
        <w:rPr>
          <w:lang w:val="en-US"/>
        </w:rPr>
        <w:fldChar w:fldCharType="separate"/>
      </w:r>
      <w:r w:rsidR="00C05068" w:rsidRPr="00C05068">
        <w:rPr>
          <w:lang w:val="en-US"/>
        </w:rPr>
        <w:t xml:space="preserve">Table </w:t>
      </w:r>
      <w:r w:rsidR="00C05068" w:rsidRPr="00C05068">
        <w:rPr>
          <w:noProof/>
          <w:lang w:val="en-US"/>
        </w:rPr>
        <w:t>2</w:t>
      </w:r>
      <w:r w:rsidR="002D03EE">
        <w:rPr>
          <w:lang w:val="en-US"/>
        </w:rPr>
        <w:fldChar w:fldCharType="end"/>
      </w:r>
      <w:r w:rsidR="00C05068">
        <w:rPr>
          <w:lang w:val="en-US"/>
        </w:rPr>
        <w:t>).</w:t>
      </w:r>
    </w:p>
    <w:p w:rsidR="00875A6F" w:rsidRPr="00723D3A" w:rsidRDefault="00875A6F">
      <w:pPr>
        <w:rPr>
          <w:lang w:val="en-US"/>
        </w:rPr>
      </w:pPr>
    </w:p>
    <w:p w:rsidR="00875A6F" w:rsidRPr="00723D3A" w:rsidRDefault="00875A6F">
      <w:pPr>
        <w:rPr>
          <w:lang w:val="en-US"/>
        </w:rPr>
      </w:pPr>
    </w:p>
    <w:p w:rsidR="00875A6F" w:rsidRPr="00723D3A" w:rsidRDefault="00875A6F">
      <w:pPr>
        <w:rPr>
          <w:lang w:val="en-US"/>
        </w:rPr>
      </w:pPr>
    </w:p>
    <w:p w:rsidR="00875A6F" w:rsidRPr="00723D3A" w:rsidRDefault="00875A6F">
      <w:pPr>
        <w:rPr>
          <w:lang w:val="en-US"/>
        </w:rPr>
      </w:pPr>
    </w:p>
    <w:p w:rsidR="00875A6F" w:rsidRPr="00723D3A" w:rsidRDefault="00875A6F">
      <w:pPr>
        <w:rPr>
          <w:lang w:val="en-US"/>
        </w:rPr>
      </w:pPr>
    </w:p>
    <w:p w:rsidR="00875A6F" w:rsidRPr="00723D3A" w:rsidRDefault="00875A6F">
      <w:pPr>
        <w:rPr>
          <w:lang w:val="en-US"/>
        </w:rPr>
      </w:pPr>
    </w:p>
    <w:p w:rsidR="00875A6F" w:rsidRPr="00723D3A" w:rsidRDefault="00875A6F">
      <w:pPr>
        <w:rPr>
          <w:lang w:val="en-US"/>
        </w:rPr>
      </w:pPr>
    </w:p>
    <w:p w:rsidR="00875A6F" w:rsidRPr="00723D3A" w:rsidRDefault="00875A6F">
      <w:pPr>
        <w:rPr>
          <w:lang w:val="en-US"/>
        </w:rPr>
      </w:pPr>
    </w:p>
    <w:p w:rsidR="00875A6F" w:rsidRPr="00723D3A" w:rsidRDefault="00875A6F">
      <w:pPr>
        <w:rPr>
          <w:lang w:val="en-US"/>
        </w:rPr>
      </w:pPr>
    </w:p>
    <w:p w:rsidR="00C05068" w:rsidRDefault="00C05068">
      <w:pPr>
        <w:rPr>
          <w:lang w:val="en-US"/>
        </w:rPr>
        <w:sectPr w:rsidR="00C05068" w:rsidSect="00756D3E">
          <w:pgSz w:w="11906" w:h="16838" w:code="9"/>
          <w:pgMar w:top="1701" w:right="1701" w:bottom="1134" w:left="1418" w:header="709" w:footer="709" w:gutter="0"/>
          <w:cols w:space="708"/>
          <w:docGrid w:linePitch="360"/>
        </w:sectPr>
      </w:pPr>
    </w:p>
    <w:p w:rsidR="0085678E" w:rsidRDefault="0085678E" w:rsidP="0085678E">
      <w:pPr>
        <w:spacing w:after="0"/>
        <w:rPr>
          <w:lang w:val="en-US"/>
        </w:rPr>
      </w:pPr>
      <w:bookmarkStart w:id="2" w:name="_Ref440615873"/>
      <w:r>
        <w:rPr>
          <w:lang w:val="en-US"/>
        </w:rPr>
        <w:lastRenderedPageBreak/>
        <w:t>Tab</w:t>
      </w:r>
      <w:r w:rsidRPr="0085678E">
        <w:rPr>
          <w:lang w:val="en-US"/>
        </w:rPr>
        <w:t xml:space="preserve">le </w:t>
      </w:r>
      <w:r w:rsidR="002D03EE" w:rsidRPr="0085678E">
        <w:rPr>
          <w:lang w:val="en-US"/>
        </w:rPr>
        <w:fldChar w:fldCharType="begin"/>
      </w:r>
      <w:r w:rsidRPr="0085678E">
        <w:rPr>
          <w:lang w:val="en-US"/>
        </w:rPr>
        <w:instrText xml:space="preserve"> SEQ Tabelle \* ARABIC </w:instrText>
      </w:r>
      <w:r w:rsidR="002D03EE" w:rsidRPr="0085678E">
        <w:rPr>
          <w:lang w:val="en-US"/>
        </w:rPr>
        <w:fldChar w:fldCharType="separate"/>
      </w:r>
      <w:r w:rsidRPr="0085678E">
        <w:rPr>
          <w:lang w:val="en-US"/>
        </w:rPr>
        <w:t>1</w:t>
      </w:r>
      <w:r w:rsidR="002D03EE" w:rsidRPr="0085678E">
        <w:rPr>
          <w:lang w:val="en-US"/>
        </w:rPr>
        <w:fldChar w:fldCharType="end"/>
      </w:r>
      <w:bookmarkEnd w:id="2"/>
      <w:r w:rsidRPr="0085678E">
        <w:rPr>
          <w:lang w:val="en-US"/>
        </w:rPr>
        <w:t xml:space="preserve"> </w:t>
      </w:r>
      <w:r w:rsidR="00C742EE">
        <w:rPr>
          <w:lang w:val="en-US"/>
        </w:rPr>
        <w:t>First test of environmental heterogeneity for the mean values of altitude in 5 arc min grid cells.</w:t>
      </w:r>
    </w:p>
    <w:p w:rsidR="0085678E" w:rsidRPr="0085678E" w:rsidRDefault="0085678E" w:rsidP="0085678E">
      <w:pPr>
        <w:spacing w:after="0"/>
        <w:rPr>
          <w:lang w:val="en-US"/>
        </w:rPr>
      </w:pPr>
    </w:p>
    <w:tbl>
      <w:tblPr>
        <w:tblW w:w="14094" w:type="dxa"/>
        <w:tblInd w:w="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5"/>
        <w:gridCol w:w="1518"/>
        <w:gridCol w:w="1984"/>
        <w:gridCol w:w="1276"/>
        <w:gridCol w:w="1559"/>
        <w:gridCol w:w="1560"/>
        <w:gridCol w:w="1984"/>
        <w:gridCol w:w="1701"/>
        <w:gridCol w:w="1457"/>
      </w:tblGrid>
      <w:tr w:rsidR="00D05B60" w:rsidRPr="00A51AA4" w:rsidTr="0085678E">
        <w:trPr>
          <w:trHeight w:val="300"/>
        </w:trPr>
        <w:tc>
          <w:tcPr>
            <w:tcW w:w="10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5B60" w:rsidRPr="008D180A" w:rsidRDefault="00D05B60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350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5B60" w:rsidRPr="008D180A" w:rsidRDefault="00D05B60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439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5B60" w:rsidRPr="008D180A" w:rsidRDefault="00D05B60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permutation test of 999 Wilcoxon-signed rank tests of differences between the altitude of both continents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05B60" w:rsidRPr="008D180A" w:rsidRDefault="00D05B60" w:rsidP="008D18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Confidence interval </w:t>
            </w: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of </w:t>
            </w: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the </w:t>
            </w: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normal distribution</w:t>
            </w: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 for the mean W-statistic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auto"/>
            <w:vAlign w:val="bottom"/>
          </w:tcPr>
          <w:p w:rsidR="00D05B60" w:rsidRPr="008D180A" w:rsidRDefault="00D05B60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</w:tc>
      </w:tr>
      <w:tr w:rsidR="008D180A" w:rsidRPr="00723D3A" w:rsidTr="0085678E">
        <w:trPr>
          <w:trHeight w:val="300"/>
        </w:trPr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 xml:space="preserve">mean </w:t>
            </w:r>
            <w:r w:rsidR="002D3809">
              <w:rPr>
                <w:rFonts w:eastAsia="Times New Roman" w:cs="Times New Roman"/>
                <w:b/>
                <w:color w:val="000000"/>
                <w:lang w:eastAsia="de-DE"/>
              </w:rPr>
              <w:t xml:space="preserve">altitude </w:t>
            </w: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Europe [m]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5A6F" w:rsidRPr="002D3809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2D3809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mean </w:t>
            </w:r>
            <w:r w:rsidR="002D3809" w:rsidRPr="002D3809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altitude </w:t>
            </w:r>
            <w:r w:rsidRPr="002D3809">
              <w:rPr>
                <w:rFonts w:eastAsia="Times New Roman" w:cs="Times New Roman"/>
                <w:b/>
                <w:color w:val="000000"/>
                <w:lang w:val="en-US" w:eastAsia="de-DE"/>
              </w:rPr>
              <w:t>North America [m]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mean W-statistic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bias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mean St.-Error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2.50%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97.50%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significance</w:t>
            </w:r>
          </w:p>
        </w:tc>
      </w:tr>
      <w:tr w:rsidR="008D180A" w:rsidRPr="00723D3A" w:rsidTr="0085678E">
        <w:trPr>
          <w:trHeight w:val="300"/>
        </w:trPr>
        <w:tc>
          <w:tcPr>
            <w:tcW w:w="105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area1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308.9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162.8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4025777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14.85973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995.2463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3828019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4223177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  <w:tr w:rsidR="008D180A" w:rsidRPr="00723D3A" w:rsidTr="0085678E">
        <w:trPr>
          <w:trHeight w:val="300"/>
        </w:trPr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area2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261.8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248.4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46759225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-42.00207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2592.142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46255393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47266726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  <w:tr w:rsidR="008D180A" w:rsidRPr="00723D3A" w:rsidTr="0085678E">
        <w:trPr>
          <w:trHeight w:val="300"/>
        </w:trPr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area3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112.9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231.2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3151836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0.2489545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55.35026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val="en-US" w:eastAsia="de-DE"/>
              </w:rPr>
              <w:t>3141</w:t>
            </w:r>
            <w:r w:rsidRPr="00875A6F">
              <w:rPr>
                <w:rFonts w:eastAsia="Times New Roman" w:cs="Times New Roman"/>
                <w:color w:val="000000"/>
                <w:lang w:eastAsia="de-DE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3162680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  <w:tr w:rsidR="008D180A" w:rsidRPr="00723D3A" w:rsidTr="0085678E">
        <w:trPr>
          <w:trHeight w:val="300"/>
        </w:trPr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area4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220.1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220.3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8259805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10.32182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477.4031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8165781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8354428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  <w:tr w:rsidR="008D180A" w:rsidRPr="00723D3A" w:rsidTr="0085678E">
        <w:trPr>
          <w:trHeight w:val="300"/>
        </w:trPr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all regions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198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223.5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631400000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1053.302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45738.72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630809085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5A6F" w:rsidRPr="00875A6F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636310074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5A6F" w:rsidRPr="008D180A" w:rsidRDefault="00875A6F" w:rsidP="00875A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</w:tbl>
    <w:p w:rsidR="002D3809" w:rsidRDefault="002D3809" w:rsidP="00875A6F">
      <w:pPr>
        <w:jc w:val="center"/>
        <w:rPr>
          <w:lang w:val="en-US"/>
        </w:rPr>
      </w:pPr>
    </w:p>
    <w:p w:rsidR="0085678E" w:rsidRDefault="0085678E" w:rsidP="00875A6F">
      <w:pPr>
        <w:jc w:val="center"/>
        <w:rPr>
          <w:lang w:val="en-US"/>
        </w:rPr>
      </w:pPr>
    </w:p>
    <w:p w:rsidR="0085678E" w:rsidRDefault="0085678E" w:rsidP="0085678E">
      <w:pPr>
        <w:spacing w:after="0"/>
        <w:rPr>
          <w:lang w:val="en-US"/>
        </w:rPr>
      </w:pPr>
      <w:r>
        <w:rPr>
          <w:lang w:val="en-US"/>
        </w:rPr>
        <w:t>Tab</w:t>
      </w:r>
      <w:r w:rsidRPr="0085678E">
        <w:rPr>
          <w:lang w:val="en-US"/>
        </w:rPr>
        <w:t xml:space="preserve">le </w:t>
      </w:r>
      <w:r w:rsidR="002D03EE" w:rsidRPr="0085678E">
        <w:rPr>
          <w:lang w:val="en-US"/>
        </w:rPr>
        <w:fldChar w:fldCharType="begin"/>
      </w:r>
      <w:r w:rsidRPr="0085678E">
        <w:rPr>
          <w:lang w:val="en-US"/>
        </w:rPr>
        <w:instrText xml:space="preserve"> SEQ Tabelle \* ARABIC </w:instrText>
      </w:r>
      <w:r w:rsidR="002D03EE" w:rsidRPr="0085678E">
        <w:rPr>
          <w:lang w:val="en-US"/>
        </w:rPr>
        <w:fldChar w:fldCharType="separate"/>
      </w:r>
      <w:r>
        <w:rPr>
          <w:lang w:val="en-US"/>
        </w:rPr>
        <w:t>2</w:t>
      </w:r>
      <w:r w:rsidR="002D03EE" w:rsidRPr="0085678E">
        <w:rPr>
          <w:lang w:val="en-US"/>
        </w:rPr>
        <w:fldChar w:fldCharType="end"/>
      </w:r>
      <w:r>
        <w:rPr>
          <w:lang w:val="en-US"/>
        </w:rPr>
        <w:t xml:space="preserve"> </w:t>
      </w:r>
      <w:r w:rsidR="00C742EE">
        <w:rPr>
          <w:lang w:val="en-US"/>
        </w:rPr>
        <w:t>First test of environmental heterogeneity for the standard deviation of altitudes in 5 arc min grid cells.</w:t>
      </w:r>
    </w:p>
    <w:p w:rsidR="00C742EE" w:rsidRPr="0085678E" w:rsidRDefault="00C742EE" w:rsidP="0085678E">
      <w:pPr>
        <w:spacing w:after="0"/>
        <w:rPr>
          <w:lang w:val="en-US"/>
        </w:rPr>
      </w:pPr>
    </w:p>
    <w:tbl>
      <w:tblPr>
        <w:tblW w:w="14094" w:type="dxa"/>
        <w:tblInd w:w="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5"/>
        <w:gridCol w:w="1518"/>
        <w:gridCol w:w="1984"/>
        <w:gridCol w:w="1276"/>
        <w:gridCol w:w="1559"/>
        <w:gridCol w:w="1560"/>
        <w:gridCol w:w="1984"/>
        <w:gridCol w:w="1701"/>
        <w:gridCol w:w="1457"/>
      </w:tblGrid>
      <w:tr w:rsidR="0085678E" w:rsidRPr="00A51AA4" w:rsidTr="0085678E">
        <w:trPr>
          <w:trHeight w:val="300"/>
        </w:trPr>
        <w:tc>
          <w:tcPr>
            <w:tcW w:w="10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5678E" w:rsidRPr="0085678E" w:rsidRDefault="0085678E" w:rsidP="00AF21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  <w:p w:rsidR="0085678E" w:rsidRPr="0085678E" w:rsidRDefault="0085678E" w:rsidP="00AF21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5678E" w:rsidRPr="0085678E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5678E" w:rsidRPr="0085678E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439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permutation test of 999 Wilcoxon-signed rank tests of differences between the altitude of both continents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Confidence interval </w:t>
            </w: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of </w:t>
            </w: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the </w:t>
            </w: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normal distribution</w:t>
            </w: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 for the mean W-statistic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auto"/>
            <w:vAlign w:val="bottom"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</w:tc>
      </w:tr>
      <w:tr w:rsidR="0085678E" w:rsidRPr="008D180A" w:rsidTr="0085678E">
        <w:trPr>
          <w:trHeight w:val="300"/>
        </w:trPr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sd E</w:t>
            </w:r>
            <w:r>
              <w:rPr>
                <w:rFonts w:eastAsia="Times New Roman" w:cs="Times New Roman"/>
                <w:b/>
                <w:color w:val="000000"/>
                <w:lang w:eastAsia="de-DE"/>
              </w:rPr>
              <w:t>urope [m]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lang w:eastAsia="de-DE"/>
              </w:rPr>
              <w:t>sd</w:t>
            </w: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de-DE"/>
              </w:rPr>
              <w:t>North America [m]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mean W-statistic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bias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mean St.-Error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2.50%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97.50%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significance</w:t>
            </w:r>
          </w:p>
        </w:tc>
      </w:tr>
      <w:tr w:rsidR="0085678E" w:rsidRPr="008D180A" w:rsidTr="0085678E">
        <w:trPr>
          <w:trHeight w:val="300"/>
        </w:trPr>
        <w:tc>
          <w:tcPr>
            <w:tcW w:w="105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area1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124.2447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71.37785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4026422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81.51919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3173.818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3834588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4218197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  <w:tr w:rsidR="0085678E" w:rsidRPr="008D180A" w:rsidTr="0085678E">
        <w:trPr>
          <w:trHeight w:val="300"/>
        </w:trPr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area2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228.821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107.8128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46763323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93.06622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7869.331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46277710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47242226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  <w:tr w:rsidR="0085678E" w:rsidRPr="008D180A" w:rsidTr="0085678E">
        <w:trPr>
          <w:trHeight w:val="300"/>
        </w:trPr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area3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119.6064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100.8107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3152146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-1.220509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169.9644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3141969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3162889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  <w:tr w:rsidR="0085678E" w:rsidRPr="008D180A" w:rsidTr="0085678E">
        <w:trPr>
          <w:trHeight w:val="300"/>
        </w:trPr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area4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182.2205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205.6607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8261476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56.68444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1526.031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8166969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8359512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  <w:tr w:rsidR="0085678E" w:rsidRPr="008D180A" w:rsidTr="0085678E">
        <w:trPr>
          <w:trHeight w:val="300"/>
        </w:trPr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all regions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191.7573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154.8825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633466939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-262.9277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46831.29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630645123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678E" w:rsidRPr="00875A6F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875A6F">
              <w:rPr>
                <w:rFonts w:eastAsia="Times New Roman" w:cs="Times New Roman"/>
                <w:color w:val="000000"/>
                <w:lang w:eastAsia="de-DE"/>
              </w:rPr>
              <w:t>636413468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5678E" w:rsidRPr="008D180A" w:rsidRDefault="0085678E" w:rsidP="00AF21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</w:tbl>
    <w:p w:rsidR="00516204" w:rsidRDefault="00516204">
      <w:pPr>
        <w:rPr>
          <w:i/>
          <w:lang w:val="en-US"/>
        </w:rPr>
      </w:pPr>
    </w:p>
    <w:p w:rsidR="002D3809" w:rsidRPr="00516204" w:rsidRDefault="00D96C66" w:rsidP="00516204">
      <w:pPr>
        <w:rPr>
          <w:i/>
          <w:lang w:val="en-US"/>
        </w:rPr>
      </w:pPr>
      <w:r>
        <w:rPr>
          <w:i/>
          <w:lang w:val="en-US"/>
        </w:rPr>
        <w:lastRenderedPageBreak/>
        <w:t>Second test for</w:t>
      </w:r>
      <w:r w:rsidR="00516204" w:rsidRPr="00516204">
        <w:rPr>
          <w:i/>
          <w:lang w:val="en-US"/>
        </w:rPr>
        <w:t xml:space="preserve"> environmental heterogeneity</w:t>
      </w:r>
    </w:p>
    <w:p w:rsidR="00C05068" w:rsidRDefault="00C05068" w:rsidP="00C05068">
      <w:pPr>
        <w:rPr>
          <w:lang w:val="en-US"/>
        </w:rPr>
      </w:pPr>
      <w:r>
        <w:rPr>
          <w:lang w:val="en-US"/>
        </w:rPr>
        <w:t>In Europe grid cells of an app. area of 120 x 120 km have an intrinsic altitudinal difference of 66 m. In North Ameri</w:t>
      </w:r>
      <w:r w:rsidR="00516204">
        <w:rPr>
          <w:lang w:val="en-US"/>
        </w:rPr>
        <w:t>c</w:t>
      </w:r>
      <w:r>
        <w:rPr>
          <w:lang w:val="en-US"/>
        </w:rPr>
        <w:t>a this difference/ heterogeneity is lower with a mean value of 45 m (</w:t>
      </w:r>
      <w:r w:rsidR="002D03EE">
        <w:rPr>
          <w:lang w:val="en-US"/>
        </w:rPr>
        <w:fldChar w:fldCharType="begin"/>
      </w:r>
      <w:r w:rsidR="00C742EE">
        <w:rPr>
          <w:lang w:val="en-US"/>
        </w:rPr>
        <w:instrText xml:space="preserve"> REF _Ref440616683 \h </w:instrText>
      </w:r>
      <w:r w:rsidR="002D03EE">
        <w:rPr>
          <w:lang w:val="en-US"/>
        </w:rPr>
      </w:r>
      <w:r w:rsidR="002D03EE">
        <w:rPr>
          <w:lang w:val="en-US"/>
        </w:rPr>
        <w:fldChar w:fldCharType="separate"/>
      </w:r>
      <w:r w:rsidR="00C742EE" w:rsidRPr="00C05068">
        <w:rPr>
          <w:lang w:val="en-US"/>
        </w:rPr>
        <w:t xml:space="preserve">Table </w:t>
      </w:r>
      <w:r w:rsidR="00C742EE">
        <w:rPr>
          <w:lang w:val="en-US"/>
        </w:rPr>
        <w:t>3</w:t>
      </w:r>
      <w:r w:rsidR="002D03EE">
        <w:rPr>
          <w:lang w:val="en-US"/>
        </w:rPr>
        <w:fldChar w:fldCharType="end"/>
      </w:r>
      <w:r>
        <w:rPr>
          <w:lang w:val="en-US"/>
        </w:rPr>
        <w:t xml:space="preserve">). </w:t>
      </w:r>
    </w:p>
    <w:p w:rsidR="00516204" w:rsidRDefault="00516204" w:rsidP="00516204">
      <w:pPr>
        <w:rPr>
          <w:lang w:val="en-US"/>
        </w:rPr>
      </w:pPr>
      <w:bookmarkStart w:id="3" w:name="_Ref438480794"/>
    </w:p>
    <w:p w:rsidR="00C05068" w:rsidRPr="00C05068" w:rsidRDefault="00C05068" w:rsidP="00516204">
      <w:pPr>
        <w:rPr>
          <w:lang w:val="en-US"/>
        </w:rPr>
      </w:pPr>
      <w:bookmarkStart w:id="4" w:name="_Ref440616698"/>
      <w:bookmarkStart w:id="5" w:name="_Ref440616683"/>
      <w:r w:rsidRPr="00C05068">
        <w:rPr>
          <w:lang w:val="en-US"/>
        </w:rPr>
        <w:t xml:space="preserve">Table </w:t>
      </w:r>
      <w:r w:rsidR="002D03EE" w:rsidRPr="00516204">
        <w:rPr>
          <w:lang w:val="en-US"/>
        </w:rPr>
        <w:fldChar w:fldCharType="begin"/>
      </w:r>
      <w:r w:rsidRPr="00C05068">
        <w:rPr>
          <w:lang w:val="en-US"/>
        </w:rPr>
        <w:instrText xml:space="preserve"> SEQ Table \* ARABIC </w:instrText>
      </w:r>
      <w:r w:rsidR="002D03EE" w:rsidRPr="00516204">
        <w:rPr>
          <w:lang w:val="en-US"/>
        </w:rPr>
        <w:fldChar w:fldCharType="separate"/>
      </w:r>
      <w:r>
        <w:rPr>
          <w:lang w:val="en-US"/>
        </w:rPr>
        <w:t>3</w:t>
      </w:r>
      <w:r w:rsidR="002D03EE" w:rsidRPr="00516204">
        <w:rPr>
          <w:lang w:val="en-US"/>
        </w:rPr>
        <w:fldChar w:fldCharType="end"/>
      </w:r>
      <w:bookmarkEnd w:id="3"/>
      <w:bookmarkEnd w:id="4"/>
      <w:r w:rsidRPr="00C05068">
        <w:rPr>
          <w:lang w:val="en-US"/>
        </w:rPr>
        <w:t xml:space="preserve"> </w:t>
      </w:r>
      <w:r w:rsidR="00C742EE">
        <w:rPr>
          <w:lang w:val="en-US"/>
        </w:rPr>
        <w:t>Second test of environmental heterogeneity for the intrinsic standard deviation of altitudes in grid cells of 1 degree resolution.</w:t>
      </w:r>
      <w:bookmarkEnd w:id="5"/>
    </w:p>
    <w:tbl>
      <w:tblPr>
        <w:tblW w:w="14094" w:type="dxa"/>
        <w:tblInd w:w="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5"/>
        <w:gridCol w:w="1560"/>
        <w:gridCol w:w="1984"/>
        <w:gridCol w:w="1418"/>
        <w:gridCol w:w="1275"/>
        <w:gridCol w:w="1560"/>
        <w:gridCol w:w="1984"/>
        <w:gridCol w:w="1701"/>
        <w:gridCol w:w="1457"/>
      </w:tblGrid>
      <w:tr w:rsidR="002D3809" w:rsidRPr="00A51AA4" w:rsidTr="00C742EE">
        <w:trPr>
          <w:trHeight w:val="300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permutation test of 999 Wilcoxon-signed rank tests of differences between the altitude of both continents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Confidence interval </w:t>
            </w: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of </w:t>
            </w: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the </w:t>
            </w: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normal distribution</w:t>
            </w:r>
            <w:r w:rsidR="00D05B60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 for the mean W-statistic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</w:tc>
      </w:tr>
      <w:tr w:rsidR="002D3809" w:rsidRPr="008D180A" w:rsidTr="00C742EE">
        <w:trPr>
          <w:trHeight w:val="300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3809" w:rsidRPr="008D180A" w:rsidRDefault="00C05068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color w:val="000000"/>
                <w:lang w:eastAsia="de-DE"/>
              </w:rPr>
              <w:t>Mean sd</w:t>
            </w:r>
            <w:r w:rsidR="002D3809">
              <w:rPr>
                <w:rFonts w:eastAsia="Times New Roman" w:cs="Times New Roman"/>
                <w:b/>
                <w:color w:val="000000"/>
                <w:lang w:eastAsia="de-DE"/>
              </w:rPr>
              <w:t xml:space="preserve"> </w:t>
            </w:r>
            <w:r w:rsidR="002D3809" w:rsidRPr="008D180A">
              <w:rPr>
                <w:rFonts w:eastAsia="Times New Roman" w:cs="Times New Roman"/>
                <w:b/>
                <w:color w:val="000000"/>
                <w:lang w:eastAsia="de-DE"/>
              </w:rPr>
              <w:t>Europe [m]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3809" w:rsidRPr="002D3809" w:rsidRDefault="00C05068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>Mean sd</w:t>
            </w:r>
            <w:r w:rsidR="002D3809" w:rsidRPr="002D3809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 North America [m]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mean W-statistic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eastAsia="de-DE"/>
              </w:rPr>
              <w:t>bias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mean St.-Error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2.50%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97.50%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significance</w:t>
            </w:r>
          </w:p>
        </w:tc>
      </w:tr>
      <w:tr w:rsidR="002D3809" w:rsidRPr="008D180A" w:rsidTr="00C742EE">
        <w:trPr>
          <w:trHeight w:val="300"/>
        </w:trPr>
        <w:tc>
          <w:tcPr>
            <w:tcW w:w="1155" w:type="dxa"/>
            <w:shd w:val="clear" w:color="auto" w:fill="FFFFFF" w:themeFill="background1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de-DE"/>
              </w:rPr>
              <w:t>Temperate region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D3809" w:rsidRDefault="002D3809" w:rsidP="002D3809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3809" w:rsidRPr="00875A6F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lang w:val="en-US" w:eastAsia="de-DE"/>
              </w:rPr>
              <w:t>66.1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2D3809" w:rsidRPr="00875A6F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lang w:val="en-US" w:eastAsia="de-DE"/>
              </w:rPr>
              <w:t>45.0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D3809" w:rsidRPr="00875A6F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lang w:val="en-US" w:eastAsia="de-DE"/>
              </w:rPr>
              <w:t>51900.84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3809" w:rsidRPr="00875A6F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lang w:val="en-US" w:eastAsia="de-DE"/>
              </w:rPr>
              <w:t>2.125034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D3809" w:rsidRPr="00875A6F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lang w:val="en-US" w:eastAsia="de-DE"/>
              </w:rPr>
              <w:t>35.17492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D3809" w:rsidRPr="00875A6F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lang w:val="en-US" w:eastAsia="de-DE"/>
              </w:rPr>
              <w:t>49659.85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3809" w:rsidRPr="00875A6F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lang w:val="en-US" w:eastAsia="de-DE"/>
              </w:rPr>
              <w:t>54085.2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2D3809" w:rsidRPr="008D180A" w:rsidRDefault="002D3809" w:rsidP="000F37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de-DE"/>
              </w:rPr>
            </w:pPr>
            <w:r w:rsidRPr="008D180A">
              <w:rPr>
                <w:rFonts w:eastAsia="Times New Roman" w:cs="Times New Roman"/>
                <w:b/>
                <w:color w:val="000000"/>
                <w:lang w:val="en-US" w:eastAsia="de-DE"/>
              </w:rPr>
              <w:t>p &lt; 0.001</w:t>
            </w:r>
          </w:p>
        </w:tc>
      </w:tr>
    </w:tbl>
    <w:p w:rsidR="002D3809" w:rsidRDefault="002D3809" w:rsidP="00875A6F">
      <w:pPr>
        <w:jc w:val="center"/>
        <w:rPr>
          <w:lang w:val="en-US"/>
        </w:rPr>
      </w:pPr>
    </w:p>
    <w:p w:rsidR="00516204" w:rsidRDefault="00516204" w:rsidP="00875A6F">
      <w:pPr>
        <w:jc w:val="center"/>
        <w:rPr>
          <w:lang w:val="en-US"/>
        </w:rPr>
      </w:pPr>
    </w:p>
    <w:p w:rsidR="00516204" w:rsidRDefault="00516204" w:rsidP="00516204">
      <w:pPr>
        <w:rPr>
          <w:sz w:val="28"/>
          <w:szCs w:val="28"/>
          <w:lang w:val="en-US"/>
        </w:rPr>
      </w:pPr>
      <w:r w:rsidRPr="00516204">
        <w:rPr>
          <w:sz w:val="28"/>
          <w:szCs w:val="28"/>
          <w:lang w:val="en-US"/>
        </w:rPr>
        <w:t>4. D</w:t>
      </w:r>
      <w:r>
        <w:rPr>
          <w:sz w:val="28"/>
          <w:szCs w:val="28"/>
          <w:lang w:val="en-US"/>
        </w:rPr>
        <w:t>ISCUSSION</w:t>
      </w:r>
    </w:p>
    <w:p w:rsidR="00516204" w:rsidRPr="00516204" w:rsidRDefault="00516204" w:rsidP="00516204">
      <w:pPr>
        <w:rPr>
          <w:szCs w:val="28"/>
          <w:lang w:val="en-US"/>
        </w:rPr>
      </w:pPr>
      <w:r>
        <w:rPr>
          <w:szCs w:val="28"/>
          <w:lang w:val="en-US"/>
        </w:rPr>
        <w:t>Our results suggest a stronger environmental heterogeneity, as measured by altitude, in Europe than in North America.</w:t>
      </w:r>
    </w:p>
    <w:sectPr w:rsidR="00516204" w:rsidRPr="00516204" w:rsidSect="00516204">
      <w:pgSz w:w="16838" w:h="11906" w:orient="landscape" w:code="9"/>
      <w:pgMar w:top="1418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54075"/>
    <w:rsid w:val="00026D11"/>
    <w:rsid w:val="000D14D5"/>
    <w:rsid w:val="00153DB7"/>
    <w:rsid w:val="0019059C"/>
    <w:rsid w:val="00197F1E"/>
    <w:rsid w:val="00212260"/>
    <w:rsid w:val="00250529"/>
    <w:rsid w:val="002D03EE"/>
    <w:rsid w:val="002D101A"/>
    <w:rsid w:val="002D3809"/>
    <w:rsid w:val="00354075"/>
    <w:rsid w:val="00380EAB"/>
    <w:rsid w:val="003D5212"/>
    <w:rsid w:val="00516204"/>
    <w:rsid w:val="005C6F12"/>
    <w:rsid w:val="005D1186"/>
    <w:rsid w:val="00601026"/>
    <w:rsid w:val="007211FC"/>
    <w:rsid w:val="00723D3A"/>
    <w:rsid w:val="007353AA"/>
    <w:rsid w:val="00756D3E"/>
    <w:rsid w:val="0077097E"/>
    <w:rsid w:val="007D26FE"/>
    <w:rsid w:val="0085678E"/>
    <w:rsid w:val="00875A6F"/>
    <w:rsid w:val="008D180A"/>
    <w:rsid w:val="00933C1B"/>
    <w:rsid w:val="00950FA2"/>
    <w:rsid w:val="00964D30"/>
    <w:rsid w:val="009A58F4"/>
    <w:rsid w:val="00A0500F"/>
    <w:rsid w:val="00A51340"/>
    <w:rsid w:val="00A51AA4"/>
    <w:rsid w:val="00AA471D"/>
    <w:rsid w:val="00AD2CAF"/>
    <w:rsid w:val="00B453EE"/>
    <w:rsid w:val="00C05068"/>
    <w:rsid w:val="00C12EFC"/>
    <w:rsid w:val="00C17BE8"/>
    <w:rsid w:val="00C742EE"/>
    <w:rsid w:val="00D05B60"/>
    <w:rsid w:val="00D10034"/>
    <w:rsid w:val="00D44A73"/>
    <w:rsid w:val="00D957F9"/>
    <w:rsid w:val="00D96C66"/>
    <w:rsid w:val="00DA1207"/>
    <w:rsid w:val="00DA76F2"/>
    <w:rsid w:val="00F158BC"/>
    <w:rsid w:val="00F178A4"/>
    <w:rsid w:val="00F360E7"/>
    <w:rsid w:val="00F70960"/>
    <w:rsid w:val="00F865D4"/>
    <w:rsid w:val="00F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7F9"/>
  </w:style>
  <w:style w:type="paragraph" w:styleId="berschrift1">
    <w:name w:val="heading 1"/>
    <w:basedOn w:val="Standard"/>
    <w:next w:val="Standard"/>
    <w:link w:val="berschrift1Zchn"/>
    <w:uiPriority w:val="9"/>
    <w:qFormat/>
    <w:rsid w:val="002D101A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56D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7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D11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101A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2D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50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0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0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0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E1B7-3A20-4999-BEB6-EB29AECE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Liebergesell</dc:creator>
  <cp:lastModifiedBy>Mario Liebergesell</cp:lastModifiedBy>
  <cp:revision>15</cp:revision>
  <dcterms:created xsi:type="dcterms:W3CDTF">2015-12-21T11:06:00Z</dcterms:created>
  <dcterms:modified xsi:type="dcterms:W3CDTF">2016-01-25T17:26:00Z</dcterms:modified>
</cp:coreProperties>
</file>