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27FDF" w14:textId="12A6D04C" w:rsidR="00080214" w:rsidRPr="00080214" w:rsidRDefault="00EB629E" w:rsidP="00080214">
      <w:pPr>
        <w:spacing w:line="480" w:lineRule="auto"/>
        <w:ind w:right="-450"/>
        <w:rPr>
          <w:rFonts w:ascii="Calibri" w:hAnsi="Calibri" w:cstheme="minorHAnsi"/>
          <w:b/>
          <w:bCs/>
          <w:iCs/>
          <w:sz w:val="22"/>
          <w:szCs w:val="22"/>
        </w:rPr>
      </w:pPr>
      <w:bookmarkStart w:id="0" w:name="_GoBack"/>
      <w:bookmarkEnd w:id="0"/>
      <w:r>
        <w:rPr>
          <w:rFonts w:ascii="Calibri" w:hAnsi="Calibri" w:cstheme="minorHAnsi"/>
          <w:b/>
          <w:bCs/>
          <w:iCs/>
          <w:sz w:val="22"/>
          <w:szCs w:val="22"/>
        </w:rPr>
        <w:t>S1</w:t>
      </w:r>
      <w:r w:rsidR="002957BF">
        <w:rPr>
          <w:rFonts w:ascii="Calibri" w:hAnsi="Calibri" w:cstheme="minorHAnsi"/>
          <w:b/>
          <w:bCs/>
          <w:iCs/>
          <w:sz w:val="22"/>
          <w:szCs w:val="22"/>
        </w:rPr>
        <w:t xml:space="preserve"> </w:t>
      </w:r>
      <w:r w:rsidR="00080214" w:rsidRPr="00080214">
        <w:rPr>
          <w:rFonts w:ascii="Calibri" w:hAnsi="Calibri" w:cstheme="minorHAnsi"/>
          <w:b/>
          <w:bCs/>
          <w:iCs/>
          <w:sz w:val="22"/>
          <w:szCs w:val="22"/>
        </w:rPr>
        <w:t>Text</w:t>
      </w:r>
    </w:p>
    <w:p w14:paraId="29204396" w14:textId="77777777" w:rsidR="00080214" w:rsidRPr="00CF43E4" w:rsidRDefault="00080214" w:rsidP="00080214">
      <w:pPr>
        <w:spacing w:line="480" w:lineRule="auto"/>
        <w:ind w:right="-450"/>
        <w:rPr>
          <w:rFonts w:ascii="Calibri" w:hAnsi="Calibri" w:cstheme="minorHAnsi"/>
          <w:bCs/>
          <w:iCs/>
          <w:sz w:val="22"/>
          <w:szCs w:val="22"/>
        </w:rPr>
      </w:pPr>
      <w:r w:rsidRPr="00CF43E4">
        <w:rPr>
          <w:rFonts w:ascii="Calibri" w:hAnsi="Calibri" w:cstheme="minorHAnsi"/>
          <w:bCs/>
          <w:iCs/>
          <w:sz w:val="22"/>
          <w:szCs w:val="22"/>
        </w:rPr>
        <w:t>Genotyping information</w:t>
      </w:r>
    </w:p>
    <w:p w14:paraId="55CDA676" w14:textId="77777777" w:rsidR="00080214" w:rsidRPr="00CF43E4" w:rsidRDefault="00080214" w:rsidP="00080214">
      <w:pPr>
        <w:spacing w:line="480" w:lineRule="auto"/>
        <w:ind w:right="-450" w:firstLine="720"/>
        <w:rPr>
          <w:rFonts w:ascii="Calibri" w:hAnsi="Calibri" w:cstheme="minorHAnsi"/>
          <w:bCs/>
          <w:iCs/>
          <w:sz w:val="22"/>
          <w:szCs w:val="22"/>
        </w:rPr>
      </w:pPr>
      <w:r w:rsidRPr="00CF43E4">
        <w:rPr>
          <w:rFonts w:ascii="Calibri" w:hAnsi="Calibri" w:cstheme="minorHAnsi"/>
          <w:bCs/>
          <w:iCs/>
          <w:sz w:val="22"/>
          <w:szCs w:val="22"/>
        </w:rPr>
        <w:t xml:space="preserve">Allele or repeat sizes for the 5HTTLPR ranged from 14R to 22R, with the most common being 14 or “short” and 16 or “long” repeat units. The 18R, 19R, 20R, and 22R are considered “extra-long” alleles and were binned with the long (16R) alleles. 5HTTLPR genotypes were coded as 0, 1, and 2 with higher numbers representing a greater number of long alleles. </w:t>
      </w:r>
    </w:p>
    <w:p w14:paraId="4D77D5F5" w14:textId="77777777" w:rsidR="00080214" w:rsidRPr="00CF43E4" w:rsidRDefault="00080214" w:rsidP="00080214">
      <w:pPr>
        <w:spacing w:line="480" w:lineRule="auto"/>
        <w:ind w:right="-450"/>
        <w:rPr>
          <w:rFonts w:ascii="Calibri" w:hAnsi="Calibri" w:cstheme="minorHAnsi"/>
          <w:bCs/>
          <w:iCs/>
          <w:sz w:val="22"/>
          <w:szCs w:val="22"/>
        </w:rPr>
      </w:pPr>
      <w:r w:rsidRPr="00CF43E4">
        <w:rPr>
          <w:rFonts w:ascii="Calibri" w:hAnsi="Calibri" w:cstheme="minorHAnsi"/>
          <w:bCs/>
          <w:iCs/>
          <w:sz w:val="22"/>
          <w:szCs w:val="22"/>
        </w:rPr>
        <w:tab/>
        <w:t xml:space="preserve">For </w:t>
      </w:r>
      <w:proofErr w:type="spellStart"/>
      <w:r w:rsidRPr="00CF43E4">
        <w:rPr>
          <w:rFonts w:ascii="Calibri" w:hAnsi="Calibri" w:cstheme="minorHAnsi"/>
          <w:bCs/>
          <w:iCs/>
          <w:sz w:val="22"/>
          <w:szCs w:val="22"/>
        </w:rPr>
        <w:t>snp</w:t>
      </w:r>
      <w:proofErr w:type="spellEnd"/>
      <w:r w:rsidRPr="00CF43E4">
        <w:rPr>
          <w:rFonts w:ascii="Calibri" w:hAnsi="Calibri" w:cstheme="minorHAnsi"/>
          <w:bCs/>
          <w:iCs/>
          <w:sz w:val="22"/>
          <w:szCs w:val="22"/>
        </w:rPr>
        <w:t xml:space="preserve"> rs25331 the resulting functional variants of the L allele have been classified as L</w:t>
      </w:r>
      <w:r w:rsidRPr="00CF43E4">
        <w:rPr>
          <w:rFonts w:ascii="Calibri" w:hAnsi="Calibri" w:cstheme="minorHAnsi"/>
          <w:bCs/>
          <w:iCs/>
          <w:sz w:val="22"/>
          <w:szCs w:val="22"/>
          <w:vertAlign w:val="subscript"/>
        </w:rPr>
        <w:t>a</w:t>
      </w:r>
      <w:r w:rsidRPr="00CF43E4">
        <w:rPr>
          <w:rFonts w:ascii="Calibri" w:hAnsi="Calibri" w:cstheme="minorHAnsi"/>
          <w:bCs/>
          <w:iCs/>
          <w:sz w:val="22"/>
          <w:szCs w:val="22"/>
        </w:rPr>
        <w:t xml:space="preserve"> and </w:t>
      </w:r>
      <w:proofErr w:type="spellStart"/>
      <w:r w:rsidRPr="00CF43E4">
        <w:rPr>
          <w:rFonts w:ascii="Calibri" w:hAnsi="Calibri" w:cstheme="minorHAnsi"/>
          <w:bCs/>
          <w:iCs/>
          <w:sz w:val="22"/>
          <w:szCs w:val="22"/>
        </w:rPr>
        <w:t>L</w:t>
      </w:r>
      <w:r w:rsidRPr="00CF43E4">
        <w:rPr>
          <w:rFonts w:ascii="Calibri" w:hAnsi="Calibri" w:cstheme="minorHAnsi"/>
          <w:bCs/>
          <w:iCs/>
          <w:sz w:val="22"/>
          <w:szCs w:val="22"/>
          <w:vertAlign w:val="subscript"/>
        </w:rPr>
        <w:t>g</w:t>
      </w:r>
      <w:proofErr w:type="spellEnd"/>
      <w:r w:rsidRPr="00CF43E4">
        <w:rPr>
          <w:rFonts w:ascii="Calibri" w:hAnsi="Calibri" w:cstheme="minorHAnsi"/>
          <w:bCs/>
          <w:iCs/>
          <w:sz w:val="22"/>
          <w:szCs w:val="22"/>
        </w:rPr>
        <w:t xml:space="preserve"> [1] and the 5HTTLPR tri-allelic locus with alleles S, L</w:t>
      </w:r>
      <w:r w:rsidRPr="00CF43E4">
        <w:rPr>
          <w:rFonts w:ascii="Calibri" w:hAnsi="Calibri" w:cstheme="minorHAnsi"/>
          <w:bCs/>
          <w:iCs/>
          <w:sz w:val="22"/>
          <w:szCs w:val="22"/>
          <w:vertAlign w:val="subscript"/>
        </w:rPr>
        <w:t>a</w:t>
      </w:r>
      <w:r w:rsidRPr="00CF43E4">
        <w:rPr>
          <w:rFonts w:ascii="Calibri" w:hAnsi="Calibri" w:cstheme="minorHAnsi"/>
          <w:bCs/>
          <w:iCs/>
          <w:sz w:val="22"/>
          <w:szCs w:val="22"/>
        </w:rPr>
        <w:t>, and L</w:t>
      </w:r>
      <w:r w:rsidRPr="00CF43E4">
        <w:rPr>
          <w:rFonts w:ascii="Calibri" w:hAnsi="Calibri" w:cstheme="minorHAnsi"/>
          <w:bCs/>
          <w:iCs/>
          <w:sz w:val="22"/>
          <w:szCs w:val="22"/>
          <w:vertAlign w:val="subscript"/>
        </w:rPr>
        <w:t>g</w:t>
      </w:r>
      <w:r w:rsidRPr="00CF43E4">
        <w:rPr>
          <w:rFonts w:ascii="Calibri" w:hAnsi="Calibri" w:cstheme="minorHAnsi"/>
          <w:bCs/>
          <w:iCs/>
          <w:sz w:val="22"/>
          <w:szCs w:val="22"/>
        </w:rPr>
        <w:t xml:space="preserve">. Allele frequencies were 42.2%, 47.6% and 10.2%, respectively. Following a previous report (2) we combined the resulting six two-locus genotypes into five two-locus genotypes: SS, </w:t>
      </w:r>
      <w:proofErr w:type="spellStart"/>
      <w:r w:rsidRPr="00CF43E4">
        <w:rPr>
          <w:rFonts w:ascii="Calibri" w:hAnsi="Calibri" w:cstheme="minorHAnsi"/>
          <w:bCs/>
          <w:iCs/>
          <w:sz w:val="22"/>
          <w:szCs w:val="22"/>
        </w:rPr>
        <w:t>SL</w:t>
      </w:r>
      <w:r w:rsidRPr="00CF43E4">
        <w:rPr>
          <w:rFonts w:ascii="Calibri" w:hAnsi="Calibri" w:cstheme="minorHAnsi"/>
          <w:bCs/>
          <w:iCs/>
          <w:sz w:val="22"/>
          <w:szCs w:val="22"/>
          <w:vertAlign w:val="subscript"/>
        </w:rPr>
        <w:t>g</w:t>
      </w:r>
      <w:proofErr w:type="spellEnd"/>
      <w:r w:rsidRPr="00CF43E4">
        <w:rPr>
          <w:rFonts w:ascii="Calibri" w:hAnsi="Calibri" w:cstheme="minorHAnsi"/>
          <w:bCs/>
          <w:iCs/>
          <w:sz w:val="22"/>
          <w:szCs w:val="22"/>
        </w:rPr>
        <w:t xml:space="preserve">, </w:t>
      </w:r>
      <w:proofErr w:type="spellStart"/>
      <w:r w:rsidRPr="00CF43E4">
        <w:rPr>
          <w:rFonts w:ascii="Calibri" w:hAnsi="Calibri" w:cstheme="minorHAnsi"/>
          <w:bCs/>
          <w:iCs/>
          <w:sz w:val="22"/>
          <w:szCs w:val="22"/>
        </w:rPr>
        <w:t>SL</w:t>
      </w:r>
      <w:r w:rsidRPr="00CF43E4">
        <w:rPr>
          <w:rFonts w:ascii="Calibri" w:hAnsi="Calibri" w:cstheme="minorHAnsi"/>
          <w:bCs/>
          <w:iCs/>
          <w:sz w:val="22"/>
          <w:szCs w:val="22"/>
          <w:vertAlign w:val="subscript"/>
        </w:rPr>
        <w:t>a</w:t>
      </w:r>
      <w:proofErr w:type="spellEnd"/>
      <w:r w:rsidRPr="00CF43E4">
        <w:rPr>
          <w:rFonts w:ascii="Calibri" w:hAnsi="Calibri" w:cstheme="minorHAnsi"/>
          <w:bCs/>
          <w:iCs/>
          <w:sz w:val="22"/>
          <w:szCs w:val="22"/>
        </w:rPr>
        <w:t xml:space="preserve">, </w:t>
      </w:r>
      <w:proofErr w:type="spellStart"/>
      <w:r w:rsidRPr="00CF43E4">
        <w:rPr>
          <w:rFonts w:ascii="Calibri" w:hAnsi="Calibri" w:cstheme="minorHAnsi"/>
          <w:bCs/>
          <w:iCs/>
          <w:sz w:val="22"/>
          <w:szCs w:val="22"/>
        </w:rPr>
        <w:t>L</w:t>
      </w:r>
      <w:r w:rsidRPr="00CF43E4">
        <w:rPr>
          <w:rFonts w:ascii="Calibri" w:hAnsi="Calibri" w:cstheme="minorHAnsi"/>
          <w:bCs/>
          <w:iCs/>
          <w:sz w:val="22"/>
          <w:szCs w:val="22"/>
          <w:vertAlign w:val="subscript"/>
        </w:rPr>
        <w:t>g</w:t>
      </w:r>
      <w:r w:rsidRPr="00CF43E4">
        <w:rPr>
          <w:rFonts w:ascii="Calibri" w:hAnsi="Calibri" w:cstheme="minorHAnsi"/>
          <w:bCs/>
          <w:iCs/>
          <w:sz w:val="22"/>
          <w:szCs w:val="22"/>
        </w:rPr>
        <w:t>L</w:t>
      </w:r>
      <w:r w:rsidRPr="00CF43E4">
        <w:rPr>
          <w:rFonts w:ascii="Calibri" w:hAnsi="Calibri" w:cstheme="minorHAnsi"/>
          <w:bCs/>
          <w:iCs/>
          <w:sz w:val="22"/>
          <w:szCs w:val="22"/>
          <w:vertAlign w:val="subscript"/>
        </w:rPr>
        <w:t>a</w:t>
      </w:r>
      <w:proofErr w:type="spellEnd"/>
      <w:r w:rsidRPr="00CF43E4">
        <w:rPr>
          <w:rFonts w:ascii="Calibri" w:hAnsi="Calibri" w:cstheme="minorHAnsi"/>
          <w:bCs/>
          <w:iCs/>
          <w:sz w:val="22"/>
          <w:szCs w:val="22"/>
        </w:rPr>
        <w:t xml:space="preserve">, and </w:t>
      </w:r>
      <w:proofErr w:type="spellStart"/>
      <w:r w:rsidRPr="00CF43E4">
        <w:rPr>
          <w:rFonts w:ascii="Calibri" w:hAnsi="Calibri" w:cstheme="minorHAnsi"/>
          <w:bCs/>
          <w:iCs/>
          <w:sz w:val="22"/>
          <w:szCs w:val="22"/>
        </w:rPr>
        <w:t>L</w:t>
      </w:r>
      <w:r w:rsidRPr="00CF43E4">
        <w:rPr>
          <w:rFonts w:ascii="Calibri" w:hAnsi="Calibri" w:cstheme="minorHAnsi"/>
          <w:bCs/>
          <w:iCs/>
          <w:sz w:val="22"/>
          <w:szCs w:val="22"/>
          <w:vertAlign w:val="subscript"/>
        </w:rPr>
        <w:t>a</w:t>
      </w:r>
      <w:r w:rsidRPr="00CF43E4">
        <w:rPr>
          <w:rFonts w:ascii="Calibri" w:hAnsi="Calibri" w:cstheme="minorHAnsi"/>
          <w:bCs/>
          <w:iCs/>
          <w:sz w:val="22"/>
          <w:szCs w:val="22"/>
        </w:rPr>
        <w:t>L</w:t>
      </w:r>
      <w:r w:rsidRPr="00CF43E4">
        <w:rPr>
          <w:rFonts w:ascii="Calibri" w:hAnsi="Calibri" w:cstheme="minorHAnsi"/>
          <w:bCs/>
          <w:iCs/>
          <w:sz w:val="22"/>
          <w:szCs w:val="22"/>
          <w:vertAlign w:val="subscript"/>
        </w:rPr>
        <w:t>a</w:t>
      </w:r>
      <w:proofErr w:type="spellEnd"/>
      <w:r w:rsidRPr="00CF43E4">
        <w:rPr>
          <w:rFonts w:ascii="Calibri" w:hAnsi="Calibri" w:cstheme="minorHAnsi"/>
          <w:bCs/>
          <w:iCs/>
          <w:sz w:val="22"/>
          <w:szCs w:val="22"/>
        </w:rPr>
        <w:t xml:space="preserve">. The genotype frequencies for these five genotypes were: 20.9%, 7.7%, 38.3%, 10.0% and 23.2%, respectively. The </w:t>
      </w:r>
      <w:proofErr w:type="spellStart"/>
      <w:r w:rsidRPr="00CF43E4">
        <w:rPr>
          <w:rFonts w:ascii="Calibri" w:hAnsi="Calibri" w:cstheme="minorHAnsi"/>
          <w:bCs/>
          <w:iCs/>
          <w:sz w:val="22"/>
          <w:szCs w:val="22"/>
        </w:rPr>
        <w:t>L</w:t>
      </w:r>
      <w:r w:rsidRPr="00CF43E4">
        <w:rPr>
          <w:rFonts w:ascii="Calibri" w:hAnsi="Calibri" w:cstheme="minorHAnsi"/>
          <w:bCs/>
          <w:iCs/>
          <w:sz w:val="22"/>
          <w:szCs w:val="22"/>
          <w:vertAlign w:val="subscript"/>
        </w:rPr>
        <w:t>g</w:t>
      </w:r>
      <w:r w:rsidRPr="00CF43E4">
        <w:rPr>
          <w:rFonts w:ascii="Calibri" w:hAnsi="Calibri" w:cstheme="minorHAnsi"/>
          <w:bCs/>
          <w:iCs/>
          <w:sz w:val="22"/>
          <w:szCs w:val="22"/>
        </w:rPr>
        <w:t>L</w:t>
      </w:r>
      <w:r w:rsidRPr="00CF43E4">
        <w:rPr>
          <w:rFonts w:ascii="Calibri" w:hAnsi="Calibri" w:cstheme="minorHAnsi"/>
          <w:bCs/>
          <w:iCs/>
          <w:sz w:val="22"/>
          <w:szCs w:val="22"/>
          <w:vertAlign w:val="subscript"/>
        </w:rPr>
        <w:t>g</w:t>
      </w:r>
      <w:proofErr w:type="spellEnd"/>
      <w:r w:rsidRPr="00CF43E4">
        <w:rPr>
          <w:rFonts w:ascii="Calibri" w:hAnsi="Calibri" w:cstheme="minorHAnsi"/>
          <w:bCs/>
          <w:iCs/>
          <w:sz w:val="22"/>
          <w:szCs w:val="22"/>
        </w:rPr>
        <w:t xml:space="preserve"> genotype frequency was 1.3% and was combined with the SS</w:t>
      </w:r>
      <w:r w:rsidRPr="00CF43E4">
        <w:rPr>
          <w:rFonts w:ascii="Calibri" w:hAnsi="Calibri" w:cstheme="minorHAnsi"/>
          <w:bCs/>
          <w:i/>
          <w:iCs/>
          <w:sz w:val="22"/>
          <w:szCs w:val="22"/>
        </w:rPr>
        <w:t xml:space="preserve"> </w:t>
      </w:r>
      <w:r w:rsidRPr="00CF43E4">
        <w:rPr>
          <w:rFonts w:ascii="Calibri" w:hAnsi="Calibri" w:cstheme="minorHAnsi"/>
          <w:bCs/>
          <w:iCs/>
          <w:sz w:val="22"/>
          <w:szCs w:val="22"/>
        </w:rPr>
        <w:t xml:space="preserve">genotype (1, 3). For the purpose of our analyses we created a 5HTTLPR genotype with three levels: (1) </w:t>
      </w:r>
      <w:r w:rsidRPr="00CF43E4">
        <w:rPr>
          <w:rFonts w:ascii="Calibri" w:hAnsi="Calibri" w:cstheme="minorHAnsi"/>
          <w:bCs/>
          <w:i/>
          <w:iCs/>
          <w:sz w:val="22"/>
          <w:szCs w:val="22"/>
        </w:rPr>
        <w:t xml:space="preserve">SS + </w:t>
      </w:r>
      <w:proofErr w:type="spellStart"/>
      <w:r w:rsidRPr="00CF43E4">
        <w:rPr>
          <w:rFonts w:ascii="Calibri" w:hAnsi="Calibri" w:cstheme="minorHAnsi"/>
          <w:bCs/>
          <w:i/>
          <w:iCs/>
          <w:sz w:val="22"/>
          <w:szCs w:val="22"/>
        </w:rPr>
        <w:t>SL</w:t>
      </w:r>
      <w:r w:rsidRPr="00CF43E4">
        <w:rPr>
          <w:rFonts w:ascii="Calibri" w:hAnsi="Calibri" w:cstheme="minorHAnsi"/>
          <w:bCs/>
          <w:i/>
          <w:iCs/>
          <w:sz w:val="22"/>
          <w:szCs w:val="22"/>
          <w:vertAlign w:val="subscript"/>
        </w:rPr>
        <w:t>g</w:t>
      </w:r>
      <w:proofErr w:type="spellEnd"/>
      <w:r w:rsidRPr="00CF43E4">
        <w:rPr>
          <w:rFonts w:ascii="Calibri" w:hAnsi="Calibri" w:cstheme="minorHAnsi"/>
          <w:bCs/>
          <w:iCs/>
          <w:sz w:val="22"/>
          <w:szCs w:val="22"/>
        </w:rPr>
        <w:t xml:space="preserve"> (referred to as s/s genotype), (2) </w:t>
      </w:r>
      <w:r w:rsidRPr="00CF43E4">
        <w:rPr>
          <w:rFonts w:ascii="Calibri" w:hAnsi="Calibri" w:cstheme="minorHAnsi"/>
          <w:bCs/>
          <w:i/>
          <w:iCs/>
          <w:sz w:val="22"/>
          <w:szCs w:val="22"/>
        </w:rPr>
        <w:t>Sl</w:t>
      </w:r>
      <w:r w:rsidRPr="00CF43E4">
        <w:rPr>
          <w:rFonts w:ascii="Calibri" w:hAnsi="Calibri" w:cstheme="minorHAnsi"/>
          <w:bCs/>
          <w:i/>
          <w:iCs/>
          <w:sz w:val="22"/>
          <w:szCs w:val="22"/>
          <w:vertAlign w:val="subscript"/>
        </w:rPr>
        <w:t>a</w:t>
      </w:r>
      <w:r w:rsidRPr="00CF43E4">
        <w:rPr>
          <w:rFonts w:ascii="Calibri" w:hAnsi="Calibri" w:cstheme="minorHAnsi"/>
          <w:bCs/>
          <w:i/>
          <w:iCs/>
          <w:sz w:val="22"/>
          <w:szCs w:val="22"/>
        </w:rPr>
        <w:t xml:space="preserve"> + </w:t>
      </w:r>
      <w:proofErr w:type="spellStart"/>
      <w:r w:rsidRPr="00CF43E4">
        <w:rPr>
          <w:rFonts w:ascii="Calibri" w:hAnsi="Calibri" w:cstheme="minorHAnsi"/>
          <w:bCs/>
          <w:i/>
          <w:iCs/>
          <w:sz w:val="22"/>
          <w:szCs w:val="22"/>
        </w:rPr>
        <w:t>L</w:t>
      </w:r>
      <w:r w:rsidRPr="00CF43E4">
        <w:rPr>
          <w:rFonts w:ascii="Calibri" w:hAnsi="Calibri" w:cstheme="minorHAnsi"/>
          <w:bCs/>
          <w:i/>
          <w:iCs/>
          <w:sz w:val="22"/>
          <w:szCs w:val="22"/>
          <w:vertAlign w:val="subscript"/>
        </w:rPr>
        <w:t>a</w:t>
      </w:r>
      <w:r w:rsidRPr="00CF43E4">
        <w:rPr>
          <w:rFonts w:ascii="Calibri" w:hAnsi="Calibri" w:cstheme="minorHAnsi"/>
          <w:bCs/>
          <w:i/>
          <w:iCs/>
          <w:sz w:val="22"/>
          <w:szCs w:val="22"/>
        </w:rPr>
        <w:t>L</w:t>
      </w:r>
      <w:r w:rsidRPr="00CF43E4">
        <w:rPr>
          <w:rFonts w:ascii="Calibri" w:hAnsi="Calibri" w:cstheme="minorHAnsi"/>
          <w:bCs/>
          <w:i/>
          <w:iCs/>
          <w:sz w:val="22"/>
          <w:szCs w:val="22"/>
          <w:vertAlign w:val="subscript"/>
        </w:rPr>
        <w:t>g</w:t>
      </w:r>
      <w:proofErr w:type="spellEnd"/>
      <w:r w:rsidRPr="00CF43E4">
        <w:rPr>
          <w:rFonts w:ascii="Calibri" w:hAnsi="Calibri" w:cstheme="minorHAnsi"/>
          <w:bCs/>
          <w:iCs/>
          <w:sz w:val="22"/>
          <w:szCs w:val="22"/>
        </w:rPr>
        <w:t xml:space="preserve"> (s/l genotype), and (3)</w:t>
      </w:r>
      <w:r w:rsidRPr="00CF43E4">
        <w:rPr>
          <w:rFonts w:ascii="Calibri" w:hAnsi="Calibri" w:cstheme="minorHAnsi"/>
          <w:bCs/>
          <w:i/>
          <w:iCs/>
          <w:sz w:val="22"/>
          <w:szCs w:val="22"/>
        </w:rPr>
        <w:t xml:space="preserve"> </w:t>
      </w:r>
      <w:proofErr w:type="spellStart"/>
      <w:r w:rsidRPr="00CF43E4">
        <w:rPr>
          <w:rFonts w:ascii="Calibri" w:hAnsi="Calibri" w:cstheme="minorHAnsi"/>
          <w:bCs/>
          <w:i/>
          <w:iCs/>
          <w:sz w:val="22"/>
          <w:szCs w:val="22"/>
        </w:rPr>
        <w:t>L</w:t>
      </w:r>
      <w:r w:rsidRPr="00CF43E4">
        <w:rPr>
          <w:rFonts w:ascii="Calibri" w:hAnsi="Calibri" w:cstheme="minorHAnsi"/>
          <w:bCs/>
          <w:i/>
          <w:iCs/>
          <w:sz w:val="22"/>
          <w:szCs w:val="22"/>
          <w:vertAlign w:val="subscript"/>
        </w:rPr>
        <w:t>a</w:t>
      </w:r>
      <w:r w:rsidRPr="00CF43E4">
        <w:rPr>
          <w:rFonts w:ascii="Calibri" w:hAnsi="Calibri" w:cstheme="minorHAnsi"/>
          <w:bCs/>
          <w:i/>
          <w:iCs/>
          <w:sz w:val="22"/>
          <w:szCs w:val="22"/>
        </w:rPr>
        <w:t>L</w:t>
      </w:r>
      <w:r w:rsidRPr="00CF43E4">
        <w:rPr>
          <w:rFonts w:ascii="Calibri" w:hAnsi="Calibri" w:cstheme="minorHAnsi"/>
          <w:bCs/>
          <w:i/>
          <w:iCs/>
          <w:sz w:val="22"/>
          <w:szCs w:val="22"/>
          <w:vertAlign w:val="subscript"/>
        </w:rPr>
        <w:t>a</w:t>
      </w:r>
      <w:proofErr w:type="spellEnd"/>
      <w:r w:rsidRPr="00CF43E4">
        <w:rPr>
          <w:rFonts w:ascii="Calibri" w:hAnsi="Calibri" w:cstheme="minorHAnsi"/>
          <w:bCs/>
          <w:iCs/>
          <w:sz w:val="22"/>
          <w:szCs w:val="22"/>
        </w:rPr>
        <w:t xml:space="preserve"> (l/l genotype). </w:t>
      </w:r>
    </w:p>
    <w:p w14:paraId="0957F0B9" w14:textId="77777777" w:rsidR="00080214" w:rsidRPr="00CF43E4" w:rsidRDefault="00080214" w:rsidP="00080214">
      <w:pPr>
        <w:widowControl w:val="0"/>
        <w:spacing w:line="480" w:lineRule="auto"/>
        <w:ind w:firstLine="720"/>
        <w:rPr>
          <w:rFonts w:ascii="Calibri" w:hAnsi="Calibri"/>
          <w:sz w:val="22"/>
          <w:szCs w:val="22"/>
        </w:rPr>
      </w:pPr>
      <w:r w:rsidRPr="00CF43E4">
        <w:rPr>
          <w:rFonts w:ascii="Calibri" w:hAnsi="Calibri"/>
          <w:sz w:val="22"/>
          <w:szCs w:val="22"/>
        </w:rPr>
        <w:t xml:space="preserve">Polymerase chain reactions (PCR) contained two µl of DNA (20 </w:t>
      </w:r>
      <w:proofErr w:type="spellStart"/>
      <w:r w:rsidRPr="00CF43E4">
        <w:rPr>
          <w:rFonts w:ascii="Calibri" w:hAnsi="Calibri"/>
          <w:sz w:val="22"/>
          <w:szCs w:val="22"/>
        </w:rPr>
        <w:t>ng</w:t>
      </w:r>
      <w:proofErr w:type="spellEnd"/>
      <w:r w:rsidRPr="00CF43E4">
        <w:rPr>
          <w:rFonts w:ascii="Calibri" w:hAnsi="Calibri"/>
          <w:sz w:val="22"/>
          <w:szCs w:val="22"/>
        </w:rPr>
        <w:t xml:space="preserve"> or less), 1x Buffer II (ABI, Applied </w:t>
      </w:r>
      <w:proofErr w:type="spellStart"/>
      <w:r w:rsidRPr="00CF43E4">
        <w:rPr>
          <w:rFonts w:ascii="Calibri" w:hAnsi="Calibri"/>
          <w:sz w:val="22"/>
          <w:szCs w:val="22"/>
        </w:rPr>
        <w:t>Biosystems</w:t>
      </w:r>
      <w:proofErr w:type="spellEnd"/>
      <w:r w:rsidRPr="00CF43E4">
        <w:rPr>
          <w:rFonts w:ascii="Calibri" w:hAnsi="Calibri"/>
          <w:sz w:val="22"/>
          <w:szCs w:val="22"/>
        </w:rPr>
        <w:t xml:space="preserve">, Foster City, CA), 1.8 </w:t>
      </w:r>
      <w:proofErr w:type="spellStart"/>
      <w:r w:rsidRPr="00CF43E4">
        <w:rPr>
          <w:rFonts w:ascii="Calibri" w:hAnsi="Calibri"/>
          <w:sz w:val="22"/>
          <w:szCs w:val="22"/>
        </w:rPr>
        <w:t>mM</w:t>
      </w:r>
      <w:proofErr w:type="spellEnd"/>
      <w:r w:rsidRPr="00CF43E4">
        <w:rPr>
          <w:rFonts w:ascii="Calibri" w:hAnsi="Calibri"/>
          <w:sz w:val="22"/>
          <w:szCs w:val="22"/>
        </w:rPr>
        <w:t xml:space="preserve"> MgCl</w:t>
      </w:r>
      <w:r w:rsidRPr="00CF43E4">
        <w:rPr>
          <w:rFonts w:ascii="Calibri" w:hAnsi="Calibri"/>
          <w:sz w:val="22"/>
          <w:szCs w:val="22"/>
          <w:vertAlign w:val="subscript"/>
        </w:rPr>
        <w:t>2</w:t>
      </w:r>
      <w:r w:rsidRPr="00CF43E4">
        <w:rPr>
          <w:rFonts w:ascii="Calibri" w:hAnsi="Calibri"/>
          <w:sz w:val="22"/>
          <w:szCs w:val="22"/>
        </w:rPr>
        <w:t xml:space="preserve">, 180 µM each </w:t>
      </w:r>
      <w:proofErr w:type="spellStart"/>
      <w:r w:rsidRPr="00CF43E4">
        <w:rPr>
          <w:rFonts w:ascii="Calibri" w:hAnsi="Calibri"/>
          <w:sz w:val="22"/>
          <w:szCs w:val="22"/>
        </w:rPr>
        <w:t>deoxynucleotide</w:t>
      </w:r>
      <w:proofErr w:type="spellEnd"/>
      <w:r w:rsidRPr="00CF43E4">
        <w:rPr>
          <w:rFonts w:ascii="Calibri" w:hAnsi="Calibri"/>
          <w:sz w:val="22"/>
          <w:szCs w:val="22"/>
        </w:rPr>
        <w:t xml:space="preserve"> (</w:t>
      </w:r>
      <w:proofErr w:type="spellStart"/>
      <w:r w:rsidRPr="00CF43E4">
        <w:rPr>
          <w:rFonts w:ascii="Calibri" w:hAnsi="Calibri"/>
          <w:sz w:val="22"/>
          <w:szCs w:val="22"/>
        </w:rPr>
        <w:t>dNTP</w:t>
      </w:r>
      <w:proofErr w:type="spellEnd"/>
      <w:r w:rsidRPr="00CF43E4">
        <w:rPr>
          <w:rFonts w:ascii="Calibri" w:hAnsi="Calibri"/>
          <w:sz w:val="22"/>
          <w:szCs w:val="22"/>
        </w:rPr>
        <w:t>, NEB), with 7'-deaza-2'-deoxyGTP (</w:t>
      </w:r>
      <w:proofErr w:type="spellStart"/>
      <w:r w:rsidRPr="00CF43E4">
        <w:rPr>
          <w:rFonts w:ascii="Calibri" w:hAnsi="Calibri"/>
          <w:sz w:val="22"/>
          <w:szCs w:val="22"/>
        </w:rPr>
        <w:t>deaza</w:t>
      </w:r>
      <w:proofErr w:type="spellEnd"/>
      <w:r w:rsidRPr="00CF43E4">
        <w:rPr>
          <w:rFonts w:ascii="Calibri" w:hAnsi="Calibri"/>
          <w:sz w:val="22"/>
          <w:szCs w:val="22"/>
        </w:rPr>
        <w:t xml:space="preserve">-GTP, Roche Applied Science, Indianapolis, IN) substituted for one-half of the </w:t>
      </w:r>
      <w:proofErr w:type="spellStart"/>
      <w:r w:rsidRPr="00CF43E4">
        <w:rPr>
          <w:rFonts w:ascii="Calibri" w:hAnsi="Calibri"/>
          <w:sz w:val="22"/>
          <w:szCs w:val="22"/>
        </w:rPr>
        <w:t>dGTP</w:t>
      </w:r>
      <w:proofErr w:type="spellEnd"/>
      <w:r w:rsidRPr="00CF43E4">
        <w:rPr>
          <w:rFonts w:ascii="Calibri" w:hAnsi="Calibri"/>
          <w:sz w:val="22"/>
          <w:szCs w:val="22"/>
        </w:rPr>
        <w:t xml:space="preserve">, forward (fluorescently labeled) and reverse primers (concentrations in Table 1) and one unit of </w:t>
      </w:r>
      <w:proofErr w:type="spellStart"/>
      <w:r w:rsidRPr="00CF43E4">
        <w:rPr>
          <w:rFonts w:ascii="Calibri" w:hAnsi="Calibri"/>
          <w:sz w:val="22"/>
          <w:szCs w:val="22"/>
        </w:rPr>
        <w:t>AmpliTaq</w:t>
      </w:r>
      <w:proofErr w:type="spellEnd"/>
      <w:r w:rsidRPr="00CF43E4">
        <w:rPr>
          <w:rFonts w:ascii="Calibri" w:hAnsi="Calibri"/>
          <w:sz w:val="22"/>
          <w:szCs w:val="22"/>
        </w:rPr>
        <w:t xml:space="preserve"> Gold® polymerase (ABI) in a total volume of 20 µl. </w:t>
      </w:r>
      <w:r>
        <w:rPr>
          <w:rFonts w:ascii="Calibri" w:hAnsi="Calibri"/>
          <w:sz w:val="22"/>
          <w:szCs w:val="22"/>
        </w:rPr>
        <w:t xml:space="preserve">Forward and reverse primer sequences were: </w:t>
      </w:r>
      <w:r w:rsidRPr="00624623">
        <w:rPr>
          <w:rFonts w:ascii="Calibri" w:eastAsia="Calibri" w:hAnsi="Calibri" w:cs="Calibri"/>
          <w:color w:val="000000"/>
          <w:sz w:val="22"/>
          <w:szCs w:val="22"/>
        </w:rPr>
        <w:t>NED-ATG CCA GCA CCT AAC CCC TAA TGT</w:t>
      </w:r>
      <w:r>
        <w:rPr>
          <w:rFonts w:ascii="Calibri" w:eastAsia="Calibri" w:hAnsi="Calibri" w:cs="Calibri"/>
          <w:color w:val="000000"/>
          <w:sz w:val="22"/>
          <w:szCs w:val="22"/>
        </w:rPr>
        <w:t xml:space="preserve"> (concentration: 600 </w:t>
      </w:r>
      <w:proofErr w:type="spellStart"/>
      <w:r>
        <w:rPr>
          <w:rFonts w:ascii="Calibri" w:eastAsia="Calibri" w:hAnsi="Calibri" w:cs="Calibri"/>
          <w:color w:val="000000"/>
          <w:sz w:val="22"/>
          <w:szCs w:val="22"/>
        </w:rPr>
        <w:t>nM</w:t>
      </w:r>
      <w:proofErr w:type="spellEnd"/>
      <w:r>
        <w:rPr>
          <w:rFonts w:ascii="Calibri" w:eastAsia="Calibri" w:hAnsi="Calibri" w:cs="Calibri"/>
          <w:color w:val="000000"/>
          <w:sz w:val="22"/>
          <w:szCs w:val="22"/>
        </w:rPr>
        <w:t xml:space="preserve">) and </w:t>
      </w:r>
      <w:r w:rsidRPr="00624623">
        <w:rPr>
          <w:rFonts w:ascii="Calibri" w:eastAsia="Calibri" w:hAnsi="Calibri" w:cs="Calibri"/>
          <w:color w:val="000000"/>
          <w:sz w:val="22"/>
          <w:szCs w:val="22"/>
          <w:lang w:val="nl-NL"/>
        </w:rPr>
        <w:t>GGA CCG CAA GGT GGG CGG GA</w:t>
      </w:r>
      <w:r>
        <w:rPr>
          <w:rFonts w:ascii="Calibri" w:eastAsia="Calibri" w:hAnsi="Calibri" w:cs="Calibri"/>
          <w:color w:val="000000"/>
          <w:sz w:val="22"/>
          <w:szCs w:val="22"/>
          <w:lang w:val="nl-NL"/>
        </w:rPr>
        <w:t xml:space="preserve"> (concentraten: 600 </w:t>
      </w:r>
      <w:proofErr w:type="spellStart"/>
      <w:r>
        <w:rPr>
          <w:rFonts w:ascii="Calibri" w:eastAsia="Calibri" w:hAnsi="Calibri" w:cs="Calibri"/>
          <w:color w:val="000000"/>
          <w:sz w:val="22"/>
          <w:szCs w:val="22"/>
          <w:lang w:val="nl-NL"/>
        </w:rPr>
        <w:t>nM</w:t>
      </w:r>
      <w:proofErr w:type="spellEnd"/>
      <w:r>
        <w:rPr>
          <w:rFonts w:ascii="Calibri" w:eastAsia="Calibri" w:hAnsi="Calibri" w:cs="Calibri"/>
          <w:color w:val="000000"/>
          <w:sz w:val="22"/>
          <w:szCs w:val="22"/>
          <w:lang w:val="nl-NL"/>
        </w:rPr>
        <w:t xml:space="preserve">), </w:t>
      </w:r>
      <w:proofErr w:type="spellStart"/>
      <w:r>
        <w:rPr>
          <w:rFonts w:ascii="Calibri" w:eastAsia="Calibri" w:hAnsi="Calibri" w:cs="Calibri"/>
          <w:color w:val="000000"/>
          <w:sz w:val="22"/>
          <w:szCs w:val="22"/>
          <w:lang w:val="nl-NL"/>
        </w:rPr>
        <w:t>respectively</w:t>
      </w:r>
      <w:proofErr w:type="spellEnd"/>
      <w:r>
        <w:rPr>
          <w:rFonts w:ascii="Calibri" w:eastAsia="Calibri" w:hAnsi="Calibri" w:cs="Calibri"/>
          <w:color w:val="000000"/>
          <w:sz w:val="22"/>
          <w:szCs w:val="22"/>
          <w:lang w:val="nl-NL"/>
        </w:rPr>
        <w:t>.</w:t>
      </w:r>
      <w:r>
        <w:rPr>
          <w:rFonts w:ascii="Calibri" w:hAnsi="Calibri"/>
          <w:sz w:val="22"/>
          <w:szCs w:val="22"/>
        </w:rPr>
        <w:t xml:space="preserve"> </w:t>
      </w:r>
      <w:r w:rsidRPr="00CF43E4">
        <w:rPr>
          <w:rFonts w:ascii="Calibri" w:hAnsi="Calibri"/>
          <w:sz w:val="22"/>
          <w:szCs w:val="22"/>
        </w:rPr>
        <w:t>Amplifications were performed using a mo</w:t>
      </w:r>
      <w:r>
        <w:rPr>
          <w:rFonts w:ascii="Calibri" w:hAnsi="Calibri"/>
          <w:sz w:val="22"/>
          <w:szCs w:val="22"/>
        </w:rPr>
        <w:t>dified (4) touchdown PCR method (5</w:t>
      </w:r>
      <w:r w:rsidRPr="00CF43E4">
        <w:rPr>
          <w:rFonts w:ascii="Calibri" w:hAnsi="Calibri"/>
          <w:sz w:val="22"/>
          <w:szCs w:val="22"/>
        </w:rPr>
        <w:t xml:space="preserve">).  A 95°C incubation for 10 min was followed by two cycles of 95°C for 30 s, 65°C for 30 s, and 72°C for 60 s. The annealing temperature was decreased every two cycles from 65°C to 57°C in 2°C </w:t>
      </w:r>
      <w:r w:rsidRPr="00CF43E4">
        <w:rPr>
          <w:rFonts w:ascii="Calibri" w:hAnsi="Calibri"/>
          <w:sz w:val="22"/>
          <w:szCs w:val="22"/>
        </w:rPr>
        <w:lastRenderedPageBreak/>
        <w:t xml:space="preserve">increments (10 cycles total), followed by 30 cycles of 95°C for 30 s, 55°C for 30 s, and 72°C for 60 s and a final 30-min incubation at 72°C and a hold at 4°C. </w:t>
      </w:r>
    </w:p>
    <w:p w14:paraId="0DBA9F15" w14:textId="77777777" w:rsidR="006A52C4" w:rsidRDefault="006A52C4"/>
    <w:p w14:paraId="4B75B31B" w14:textId="77777777" w:rsidR="00551C39" w:rsidRDefault="00551C39" w:rsidP="00551C39">
      <w:pPr>
        <w:spacing w:line="480" w:lineRule="auto"/>
        <w:ind w:right="-450"/>
        <w:rPr>
          <w:rFonts w:ascii="Calibri" w:hAnsi="Calibri"/>
          <w:b/>
          <w:bCs/>
          <w:iCs/>
          <w:sz w:val="22"/>
          <w:szCs w:val="22"/>
        </w:rPr>
      </w:pPr>
    </w:p>
    <w:p w14:paraId="7D6501C6" w14:textId="77777777" w:rsidR="00551C39" w:rsidRDefault="00551C39" w:rsidP="00551C39">
      <w:pPr>
        <w:spacing w:line="480" w:lineRule="auto"/>
        <w:ind w:right="-450"/>
        <w:rPr>
          <w:rFonts w:ascii="Calibri" w:hAnsi="Calibri"/>
          <w:b/>
          <w:bCs/>
          <w:iCs/>
          <w:sz w:val="22"/>
          <w:szCs w:val="22"/>
        </w:rPr>
      </w:pPr>
    </w:p>
    <w:p w14:paraId="27020982" w14:textId="77777777" w:rsidR="00551C39" w:rsidRPr="001A499B" w:rsidRDefault="00551C39" w:rsidP="00551C39">
      <w:pPr>
        <w:spacing w:line="480" w:lineRule="auto"/>
        <w:ind w:right="-450"/>
        <w:rPr>
          <w:rFonts w:ascii="Calibri" w:hAnsi="Calibri"/>
          <w:b/>
          <w:bCs/>
          <w:iCs/>
          <w:sz w:val="22"/>
          <w:szCs w:val="22"/>
        </w:rPr>
      </w:pPr>
      <w:r w:rsidRPr="00F8135D">
        <w:rPr>
          <w:rFonts w:ascii="Calibri" w:hAnsi="Calibri"/>
          <w:b/>
          <w:bCs/>
          <w:iCs/>
          <w:sz w:val="22"/>
          <w:szCs w:val="22"/>
        </w:rPr>
        <w:t>Supplement Literature Cited</w:t>
      </w:r>
    </w:p>
    <w:p w14:paraId="14338E61" w14:textId="77777777" w:rsidR="00551C39" w:rsidRPr="001A499B" w:rsidRDefault="00551C39" w:rsidP="00551C39">
      <w:pPr>
        <w:spacing w:line="480" w:lineRule="auto"/>
        <w:ind w:right="-450"/>
        <w:rPr>
          <w:rFonts w:ascii="Calibri" w:hAnsi="Calibri" w:cstheme="minorHAnsi"/>
          <w:bCs/>
          <w:iCs/>
          <w:sz w:val="22"/>
          <w:szCs w:val="22"/>
        </w:rPr>
      </w:pPr>
      <w:r w:rsidRPr="001A499B">
        <w:rPr>
          <w:rFonts w:ascii="Calibri" w:hAnsi="Calibri" w:cstheme="minorHAnsi"/>
          <w:bCs/>
          <w:iCs/>
          <w:sz w:val="22"/>
          <w:szCs w:val="22"/>
        </w:rPr>
        <w:t xml:space="preserve">1. Hu XZ, </w:t>
      </w:r>
      <w:proofErr w:type="spellStart"/>
      <w:r w:rsidRPr="001A499B">
        <w:rPr>
          <w:rFonts w:ascii="Calibri" w:hAnsi="Calibri" w:cstheme="minorHAnsi"/>
          <w:bCs/>
          <w:iCs/>
          <w:sz w:val="22"/>
          <w:szCs w:val="22"/>
        </w:rPr>
        <w:t>Lipsky</w:t>
      </w:r>
      <w:proofErr w:type="spellEnd"/>
      <w:r w:rsidRPr="001A499B">
        <w:rPr>
          <w:rFonts w:ascii="Calibri" w:hAnsi="Calibri" w:cstheme="minorHAnsi"/>
          <w:bCs/>
          <w:iCs/>
          <w:sz w:val="22"/>
          <w:szCs w:val="22"/>
        </w:rPr>
        <w:t xml:space="preserve"> RH, Zhu G, </w:t>
      </w:r>
      <w:proofErr w:type="spellStart"/>
      <w:r w:rsidRPr="001A499B">
        <w:rPr>
          <w:rFonts w:ascii="Calibri" w:hAnsi="Calibri" w:cstheme="minorHAnsi"/>
          <w:bCs/>
          <w:iCs/>
          <w:sz w:val="22"/>
          <w:szCs w:val="22"/>
        </w:rPr>
        <w:t>Akhtar</w:t>
      </w:r>
      <w:proofErr w:type="spellEnd"/>
      <w:r w:rsidRPr="001A499B">
        <w:rPr>
          <w:rFonts w:ascii="Calibri" w:hAnsi="Calibri" w:cstheme="minorHAnsi"/>
          <w:bCs/>
          <w:iCs/>
          <w:sz w:val="22"/>
          <w:szCs w:val="22"/>
        </w:rPr>
        <w:t xml:space="preserve"> LA, </w:t>
      </w:r>
      <w:proofErr w:type="spellStart"/>
      <w:r w:rsidRPr="001A499B">
        <w:rPr>
          <w:rFonts w:ascii="Calibri" w:hAnsi="Calibri" w:cstheme="minorHAnsi"/>
          <w:bCs/>
          <w:iCs/>
          <w:sz w:val="22"/>
          <w:szCs w:val="22"/>
        </w:rPr>
        <w:t>Taubman</w:t>
      </w:r>
      <w:proofErr w:type="spellEnd"/>
      <w:r w:rsidRPr="001A499B">
        <w:rPr>
          <w:rFonts w:ascii="Calibri" w:hAnsi="Calibri" w:cstheme="minorHAnsi"/>
          <w:bCs/>
          <w:iCs/>
          <w:sz w:val="22"/>
          <w:szCs w:val="22"/>
        </w:rPr>
        <w:t xml:space="preserve"> J, Greenberg BD, </w:t>
      </w:r>
      <w:r w:rsidRPr="001A499B">
        <w:rPr>
          <w:rFonts w:ascii="Calibri" w:hAnsi="Calibri" w:cstheme="minorHAnsi"/>
          <w:bCs/>
          <w:i/>
          <w:iCs/>
          <w:sz w:val="22"/>
          <w:szCs w:val="22"/>
        </w:rPr>
        <w:t>et al</w:t>
      </w:r>
      <w:r w:rsidRPr="001A499B">
        <w:rPr>
          <w:rFonts w:ascii="Calibri" w:hAnsi="Calibri" w:cstheme="minorHAnsi"/>
          <w:bCs/>
          <w:iCs/>
          <w:sz w:val="22"/>
          <w:szCs w:val="22"/>
        </w:rPr>
        <w:t xml:space="preserve">. Serotonin transporter promoter gain-of-function genotypes are linked to obsessive-compulsive disorder. </w:t>
      </w:r>
      <w:proofErr w:type="spellStart"/>
      <w:r w:rsidRPr="001A499B">
        <w:rPr>
          <w:rFonts w:ascii="Calibri" w:hAnsi="Calibri" w:cstheme="minorHAnsi"/>
          <w:bCs/>
          <w:i/>
          <w:iCs/>
          <w:sz w:val="22"/>
          <w:szCs w:val="22"/>
        </w:rPr>
        <w:t>Amer</w:t>
      </w:r>
      <w:proofErr w:type="spellEnd"/>
      <w:r w:rsidRPr="001A499B">
        <w:rPr>
          <w:rFonts w:ascii="Calibri" w:hAnsi="Calibri" w:cstheme="minorHAnsi"/>
          <w:bCs/>
          <w:i/>
          <w:iCs/>
          <w:sz w:val="22"/>
          <w:szCs w:val="22"/>
        </w:rPr>
        <w:t xml:space="preserve"> J Hum Genet</w:t>
      </w:r>
      <w:r w:rsidRPr="001A499B">
        <w:rPr>
          <w:rFonts w:ascii="Calibri" w:hAnsi="Calibri" w:cstheme="minorHAnsi"/>
          <w:bCs/>
          <w:iCs/>
          <w:sz w:val="22"/>
          <w:szCs w:val="22"/>
        </w:rPr>
        <w:t xml:space="preserve"> 2006; 78: 815-826.</w:t>
      </w:r>
    </w:p>
    <w:p w14:paraId="18E9E406" w14:textId="77777777" w:rsidR="00551C39" w:rsidRPr="001A499B" w:rsidRDefault="00551C39" w:rsidP="00551C39">
      <w:pPr>
        <w:spacing w:line="480" w:lineRule="auto"/>
        <w:ind w:right="-450"/>
        <w:rPr>
          <w:rFonts w:ascii="Calibri" w:hAnsi="Calibri" w:cstheme="minorHAnsi"/>
          <w:bCs/>
          <w:iCs/>
          <w:sz w:val="22"/>
          <w:szCs w:val="22"/>
        </w:rPr>
      </w:pPr>
      <w:r w:rsidRPr="001A499B">
        <w:rPr>
          <w:rFonts w:ascii="Calibri" w:hAnsi="Calibri" w:cstheme="minorHAnsi"/>
          <w:bCs/>
          <w:iCs/>
          <w:sz w:val="22"/>
          <w:szCs w:val="22"/>
        </w:rPr>
        <w:t xml:space="preserve">2. Coventry WL, James MR, Eaves LJ, Gordon SD, Gillespie NA, Ryan L, Heath AC, </w:t>
      </w:r>
      <w:r w:rsidRPr="001A499B">
        <w:rPr>
          <w:rFonts w:ascii="Calibri" w:hAnsi="Calibri" w:cstheme="minorHAnsi"/>
          <w:bCs/>
          <w:i/>
          <w:iCs/>
          <w:sz w:val="22"/>
          <w:szCs w:val="22"/>
        </w:rPr>
        <w:t>et al</w:t>
      </w:r>
      <w:r w:rsidRPr="001A499B">
        <w:rPr>
          <w:rFonts w:ascii="Calibri" w:hAnsi="Calibri" w:cstheme="minorHAnsi"/>
          <w:bCs/>
          <w:iCs/>
          <w:sz w:val="22"/>
          <w:szCs w:val="22"/>
        </w:rPr>
        <w:t xml:space="preserve">. Do 5HTTLPR and stress interact in risk for depression and </w:t>
      </w:r>
      <w:proofErr w:type="spellStart"/>
      <w:r w:rsidRPr="001A499B">
        <w:rPr>
          <w:rFonts w:ascii="Calibri" w:hAnsi="Calibri" w:cstheme="minorHAnsi"/>
          <w:bCs/>
          <w:iCs/>
          <w:sz w:val="22"/>
          <w:szCs w:val="22"/>
        </w:rPr>
        <w:t>suicidality</w:t>
      </w:r>
      <w:proofErr w:type="spellEnd"/>
      <w:r w:rsidRPr="001A499B">
        <w:rPr>
          <w:rFonts w:ascii="Calibri" w:hAnsi="Calibri" w:cstheme="minorHAnsi"/>
          <w:bCs/>
          <w:iCs/>
          <w:sz w:val="22"/>
          <w:szCs w:val="22"/>
        </w:rPr>
        <w:t xml:space="preserve">? </w:t>
      </w:r>
      <w:proofErr w:type="gramStart"/>
      <w:r w:rsidRPr="001A499B">
        <w:rPr>
          <w:rFonts w:ascii="Calibri" w:hAnsi="Calibri" w:cstheme="minorHAnsi"/>
          <w:bCs/>
          <w:iCs/>
          <w:sz w:val="22"/>
          <w:szCs w:val="22"/>
        </w:rPr>
        <w:t>Item response analyses of a large sample.</w:t>
      </w:r>
      <w:proofErr w:type="gramEnd"/>
      <w:r w:rsidRPr="001A499B">
        <w:rPr>
          <w:rFonts w:ascii="Calibri" w:hAnsi="Calibri" w:cstheme="minorHAnsi"/>
          <w:bCs/>
          <w:iCs/>
          <w:sz w:val="22"/>
          <w:szCs w:val="22"/>
        </w:rPr>
        <w:t xml:space="preserve"> </w:t>
      </w:r>
      <w:r w:rsidRPr="001A499B">
        <w:rPr>
          <w:rFonts w:ascii="Calibri" w:hAnsi="Calibri" w:cstheme="minorHAnsi"/>
          <w:bCs/>
          <w:i/>
          <w:iCs/>
          <w:sz w:val="22"/>
          <w:szCs w:val="22"/>
        </w:rPr>
        <w:t>Am J Med Genet Part B.</w:t>
      </w:r>
      <w:r w:rsidRPr="001A499B">
        <w:rPr>
          <w:rFonts w:ascii="Calibri" w:hAnsi="Calibri" w:cstheme="minorHAnsi"/>
          <w:bCs/>
          <w:iCs/>
          <w:sz w:val="22"/>
          <w:szCs w:val="22"/>
        </w:rPr>
        <w:t xml:space="preserve"> 2009</w:t>
      </w:r>
      <w:proofErr w:type="gramStart"/>
      <w:r w:rsidRPr="001A499B">
        <w:rPr>
          <w:rFonts w:ascii="Calibri" w:hAnsi="Calibri" w:cstheme="minorHAnsi"/>
          <w:bCs/>
          <w:iCs/>
          <w:sz w:val="22"/>
          <w:szCs w:val="22"/>
        </w:rPr>
        <w:t>;</w:t>
      </w:r>
      <w:proofErr w:type="gramEnd"/>
      <w:r w:rsidRPr="001A499B">
        <w:rPr>
          <w:rFonts w:ascii="Calibri" w:hAnsi="Calibri" w:cstheme="minorHAnsi"/>
          <w:bCs/>
          <w:iCs/>
          <w:sz w:val="22"/>
          <w:szCs w:val="22"/>
        </w:rPr>
        <w:t xml:space="preserve"> 153B: 757-765.</w:t>
      </w:r>
    </w:p>
    <w:p w14:paraId="5FDD8A47" w14:textId="77777777" w:rsidR="00551C39" w:rsidRPr="001A499B" w:rsidRDefault="00551C39" w:rsidP="00551C39">
      <w:pPr>
        <w:spacing w:line="480" w:lineRule="auto"/>
        <w:ind w:right="-450"/>
        <w:rPr>
          <w:rFonts w:ascii="Calibri" w:hAnsi="Calibri" w:cstheme="minorHAnsi"/>
          <w:bCs/>
          <w:iCs/>
          <w:sz w:val="22"/>
          <w:szCs w:val="22"/>
        </w:rPr>
      </w:pPr>
      <w:r w:rsidRPr="001A499B">
        <w:rPr>
          <w:rFonts w:ascii="Calibri" w:hAnsi="Calibri" w:cstheme="minorHAnsi"/>
          <w:bCs/>
          <w:iCs/>
          <w:sz w:val="22"/>
          <w:szCs w:val="22"/>
        </w:rPr>
        <w:t xml:space="preserve">3. </w:t>
      </w:r>
      <w:proofErr w:type="spellStart"/>
      <w:r w:rsidRPr="001A499B">
        <w:rPr>
          <w:rFonts w:ascii="Calibri" w:hAnsi="Calibri" w:cstheme="minorHAnsi"/>
          <w:bCs/>
          <w:iCs/>
          <w:sz w:val="22"/>
          <w:szCs w:val="22"/>
        </w:rPr>
        <w:t>Wendlend</w:t>
      </w:r>
      <w:proofErr w:type="spellEnd"/>
      <w:r w:rsidRPr="001A499B">
        <w:rPr>
          <w:rFonts w:ascii="Calibri" w:hAnsi="Calibri" w:cstheme="minorHAnsi"/>
          <w:bCs/>
          <w:iCs/>
          <w:sz w:val="22"/>
          <w:szCs w:val="22"/>
        </w:rPr>
        <w:t xml:space="preserve"> JR, Martin BJ, Kruse MR, </w:t>
      </w:r>
      <w:proofErr w:type="spellStart"/>
      <w:r w:rsidRPr="001A499B">
        <w:rPr>
          <w:rFonts w:ascii="Calibri" w:hAnsi="Calibri" w:cstheme="minorHAnsi"/>
          <w:bCs/>
          <w:iCs/>
          <w:sz w:val="22"/>
          <w:szCs w:val="22"/>
        </w:rPr>
        <w:t>Lesch</w:t>
      </w:r>
      <w:proofErr w:type="spellEnd"/>
      <w:r w:rsidRPr="001A499B">
        <w:rPr>
          <w:rFonts w:ascii="Calibri" w:hAnsi="Calibri" w:cstheme="minorHAnsi"/>
          <w:bCs/>
          <w:iCs/>
          <w:sz w:val="22"/>
          <w:szCs w:val="22"/>
        </w:rPr>
        <w:t xml:space="preserve"> KP, Murphy DL. </w:t>
      </w:r>
      <w:proofErr w:type="gramStart"/>
      <w:r w:rsidRPr="001A499B">
        <w:rPr>
          <w:rFonts w:ascii="Calibri" w:hAnsi="Calibri" w:cstheme="minorHAnsi"/>
          <w:bCs/>
          <w:iCs/>
          <w:sz w:val="22"/>
          <w:szCs w:val="22"/>
        </w:rPr>
        <w:t>Simultaneous genotyping of four functional loci of human SLC6A4, with reappraisal of 5-HTTLPR and rs25531.</w:t>
      </w:r>
      <w:proofErr w:type="gramEnd"/>
      <w:r w:rsidRPr="001A499B">
        <w:rPr>
          <w:rFonts w:ascii="Calibri" w:hAnsi="Calibri" w:cstheme="minorHAnsi"/>
          <w:bCs/>
          <w:iCs/>
          <w:sz w:val="22"/>
          <w:szCs w:val="22"/>
        </w:rPr>
        <w:t xml:space="preserve"> </w:t>
      </w:r>
      <w:proofErr w:type="spellStart"/>
      <w:r w:rsidRPr="001A499B">
        <w:rPr>
          <w:rFonts w:ascii="Calibri" w:hAnsi="Calibri" w:cstheme="minorHAnsi"/>
          <w:bCs/>
          <w:i/>
          <w:iCs/>
          <w:sz w:val="22"/>
          <w:szCs w:val="22"/>
        </w:rPr>
        <w:t>Mol</w:t>
      </w:r>
      <w:proofErr w:type="spellEnd"/>
      <w:r w:rsidRPr="001A499B">
        <w:rPr>
          <w:rFonts w:ascii="Calibri" w:hAnsi="Calibri" w:cstheme="minorHAnsi"/>
          <w:bCs/>
          <w:i/>
          <w:iCs/>
          <w:sz w:val="22"/>
          <w:szCs w:val="22"/>
        </w:rPr>
        <w:t xml:space="preserve"> Psychiatry</w:t>
      </w:r>
      <w:r w:rsidRPr="001A499B">
        <w:rPr>
          <w:rFonts w:ascii="Calibri" w:hAnsi="Calibri" w:cstheme="minorHAnsi"/>
          <w:bCs/>
          <w:iCs/>
          <w:sz w:val="22"/>
          <w:szCs w:val="22"/>
        </w:rPr>
        <w:t xml:space="preserve"> 2006; 11: 224-226</w:t>
      </w:r>
    </w:p>
    <w:p w14:paraId="510EA64D" w14:textId="77777777" w:rsidR="00551C39" w:rsidRDefault="00551C39" w:rsidP="00551C39">
      <w:pPr>
        <w:spacing w:line="480" w:lineRule="auto"/>
        <w:ind w:right="-547"/>
        <w:jc w:val="both"/>
        <w:rPr>
          <w:rFonts w:ascii="Calibri" w:hAnsi="Calibri"/>
          <w:sz w:val="22"/>
          <w:szCs w:val="22"/>
        </w:rPr>
      </w:pPr>
      <w:r>
        <w:rPr>
          <w:b/>
          <w:bCs/>
          <w:iCs/>
          <w:sz w:val="22"/>
          <w:szCs w:val="22"/>
        </w:rPr>
        <w:t xml:space="preserve">4. </w:t>
      </w:r>
      <w:proofErr w:type="spellStart"/>
      <w:r>
        <w:rPr>
          <w:rFonts w:ascii="Calibri" w:hAnsi="Calibri"/>
          <w:sz w:val="22"/>
          <w:szCs w:val="22"/>
        </w:rPr>
        <w:t>Anchordoquy</w:t>
      </w:r>
      <w:proofErr w:type="spellEnd"/>
      <w:r>
        <w:rPr>
          <w:rFonts w:ascii="Calibri" w:hAnsi="Calibri"/>
          <w:sz w:val="22"/>
          <w:szCs w:val="22"/>
        </w:rPr>
        <w:t xml:space="preserve"> HC, </w:t>
      </w:r>
      <w:proofErr w:type="spellStart"/>
      <w:r>
        <w:rPr>
          <w:rFonts w:ascii="Calibri" w:hAnsi="Calibri"/>
          <w:sz w:val="22"/>
          <w:szCs w:val="22"/>
        </w:rPr>
        <w:t>McGeary</w:t>
      </w:r>
      <w:proofErr w:type="spellEnd"/>
      <w:r>
        <w:rPr>
          <w:rFonts w:ascii="Calibri" w:hAnsi="Calibri"/>
          <w:sz w:val="22"/>
          <w:szCs w:val="22"/>
        </w:rPr>
        <w:t xml:space="preserve"> C, Liu L, </w:t>
      </w:r>
      <w:proofErr w:type="spellStart"/>
      <w:r>
        <w:rPr>
          <w:rFonts w:ascii="Calibri" w:hAnsi="Calibri"/>
          <w:sz w:val="22"/>
          <w:szCs w:val="22"/>
        </w:rPr>
        <w:t>Krauter</w:t>
      </w:r>
      <w:proofErr w:type="spellEnd"/>
      <w:r>
        <w:rPr>
          <w:rFonts w:ascii="Calibri" w:hAnsi="Calibri"/>
          <w:sz w:val="22"/>
          <w:szCs w:val="22"/>
        </w:rPr>
        <w:t xml:space="preserve"> KS, </w:t>
      </w:r>
      <w:proofErr w:type="spellStart"/>
      <w:r>
        <w:rPr>
          <w:rFonts w:ascii="Calibri" w:hAnsi="Calibri"/>
          <w:sz w:val="22"/>
          <w:szCs w:val="22"/>
        </w:rPr>
        <w:t>Smolen</w:t>
      </w:r>
      <w:proofErr w:type="spellEnd"/>
      <w:r>
        <w:rPr>
          <w:rFonts w:ascii="Calibri" w:hAnsi="Calibri"/>
          <w:sz w:val="22"/>
          <w:szCs w:val="22"/>
        </w:rPr>
        <w:t xml:space="preserve"> A (2003) Genotyping of three candidate genes after whole-genome </w:t>
      </w:r>
      <w:proofErr w:type="spellStart"/>
      <w:r>
        <w:rPr>
          <w:rFonts w:ascii="Calibri" w:hAnsi="Calibri"/>
          <w:sz w:val="22"/>
          <w:szCs w:val="22"/>
        </w:rPr>
        <w:t>preamplification</w:t>
      </w:r>
      <w:proofErr w:type="spellEnd"/>
      <w:r>
        <w:rPr>
          <w:rFonts w:ascii="Calibri" w:hAnsi="Calibri"/>
          <w:sz w:val="22"/>
          <w:szCs w:val="22"/>
        </w:rPr>
        <w:t xml:space="preserve"> of DNA collected from </w:t>
      </w:r>
      <w:proofErr w:type="spellStart"/>
      <w:r>
        <w:rPr>
          <w:rFonts w:ascii="Calibri" w:hAnsi="Calibri"/>
          <w:sz w:val="22"/>
          <w:szCs w:val="22"/>
        </w:rPr>
        <w:t>buccal</w:t>
      </w:r>
      <w:proofErr w:type="spellEnd"/>
      <w:r>
        <w:rPr>
          <w:rFonts w:ascii="Calibri" w:hAnsi="Calibri"/>
          <w:sz w:val="22"/>
          <w:szCs w:val="22"/>
        </w:rPr>
        <w:t xml:space="preserve"> cells. </w:t>
      </w:r>
      <w:proofErr w:type="spellStart"/>
      <w:r>
        <w:rPr>
          <w:rFonts w:ascii="Calibri" w:hAnsi="Calibri"/>
          <w:sz w:val="22"/>
          <w:szCs w:val="22"/>
        </w:rPr>
        <w:t>Behav</w:t>
      </w:r>
      <w:proofErr w:type="spellEnd"/>
      <w:r>
        <w:rPr>
          <w:rFonts w:ascii="Calibri" w:hAnsi="Calibri"/>
          <w:sz w:val="22"/>
          <w:szCs w:val="22"/>
        </w:rPr>
        <w:t xml:space="preserve"> Genet 33: 73-78.</w:t>
      </w:r>
    </w:p>
    <w:p w14:paraId="3A0EB004" w14:textId="77777777" w:rsidR="00551C39" w:rsidRPr="006C05CE" w:rsidRDefault="00551C39" w:rsidP="00551C39">
      <w:pPr>
        <w:spacing w:line="480" w:lineRule="auto"/>
        <w:ind w:right="-547"/>
        <w:jc w:val="both"/>
        <w:rPr>
          <w:rFonts w:ascii="Calibri" w:hAnsi="Calibri"/>
          <w:sz w:val="22"/>
          <w:szCs w:val="22"/>
        </w:rPr>
      </w:pPr>
      <w:r>
        <w:rPr>
          <w:b/>
          <w:bCs/>
          <w:iCs/>
          <w:sz w:val="22"/>
          <w:szCs w:val="22"/>
        </w:rPr>
        <w:t xml:space="preserve">5. </w:t>
      </w:r>
      <w:r w:rsidRPr="00622AAF">
        <w:rPr>
          <w:rFonts w:ascii="Calibri" w:hAnsi="Calibri"/>
          <w:sz w:val="22"/>
          <w:szCs w:val="22"/>
        </w:rPr>
        <w:t xml:space="preserve">Don RH, Cox RT, Wainwright BJ, Baker K, </w:t>
      </w:r>
      <w:proofErr w:type="spellStart"/>
      <w:r w:rsidRPr="00622AAF">
        <w:rPr>
          <w:rFonts w:ascii="Calibri" w:hAnsi="Calibri"/>
          <w:sz w:val="22"/>
          <w:szCs w:val="22"/>
        </w:rPr>
        <w:t>Mattick</w:t>
      </w:r>
      <w:proofErr w:type="spellEnd"/>
      <w:r w:rsidRPr="00622AAF">
        <w:rPr>
          <w:rFonts w:ascii="Calibri" w:hAnsi="Calibri"/>
          <w:sz w:val="22"/>
          <w:szCs w:val="22"/>
        </w:rPr>
        <w:t xml:space="preserve"> JS (1992) “Touchdown” PCR </w:t>
      </w:r>
      <w:r>
        <w:rPr>
          <w:rFonts w:ascii="Calibri" w:hAnsi="Calibri"/>
          <w:sz w:val="22"/>
          <w:szCs w:val="22"/>
        </w:rPr>
        <w:t xml:space="preserve">to circumvent spurious priming </w:t>
      </w:r>
      <w:r w:rsidRPr="00622AAF">
        <w:rPr>
          <w:rFonts w:ascii="Calibri" w:hAnsi="Calibri"/>
          <w:sz w:val="22"/>
          <w:szCs w:val="22"/>
        </w:rPr>
        <w:t>during gene amplification. Nucleic Acids Res. 19: 4008.</w:t>
      </w:r>
    </w:p>
    <w:p w14:paraId="60834D56" w14:textId="77777777" w:rsidR="00551C39" w:rsidRDefault="00551C39"/>
    <w:sectPr w:rsidR="00551C39" w:rsidSect="006A52C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14"/>
    <w:rsid w:val="00080214"/>
    <w:rsid w:val="002957BF"/>
    <w:rsid w:val="002B7707"/>
    <w:rsid w:val="004B2512"/>
    <w:rsid w:val="00551C39"/>
    <w:rsid w:val="006A52C4"/>
    <w:rsid w:val="007D3E20"/>
    <w:rsid w:val="00EB62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A9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1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1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2754</Characters>
  <Application>Microsoft Macintosh Word</Application>
  <DocSecurity>0</DocSecurity>
  <Lines>22</Lines>
  <Paragraphs>6</Paragraphs>
  <ScaleCrop>false</ScaleCrop>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C. Haberstick</dc:creator>
  <cp:keywords/>
  <dc:description/>
  <cp:lastModifiedBy>Brett</cp:lastModifiedBy>
  <cp:revision>2</cp:revision>
  <dcterms:created xsi:type="dcterms:W3CDTF">2016-02-23T18:40:00Z</dcterms:created>
  <dcterms:modified xsi:type="dcterms:W3CDTF">2016-02-23T18:40:00Z</dcterms:modified>
</cp:coreProperties>
</file>